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1B8B" w14:textId="2DFD09AB" w:rsidR="00594C3A" w:rsidRDefault="00B2625D" w:rsidP="00136206">
      <w:pPr>
        <w:pStyle w:val="Title"/>
      </w:pPr>
      <w:bookmarkStart w:id="0" w:name="_Toc132202185"/>
      <w:bookmarkStart w:id="1" w:name="_Toc132121901"/>
      <w:bookmarkStart w:id="2" w:name="_Toc132121948"/>
      <w:r>
        <w:t>Principles for marking and redacting confidential information</w:t>
      </w:r>
      <w:r w:rsidR="0CA4F9F5">
        <w:t xml:space="preserve"> in technology appraisals and highly specialised technolog</w:t>
      </w:r>
      <w:r w:rsidR="00E23D06">
        <w:t>ies</w:t>
      </w:r>
      <w:r w:rsidR="0CA4F9F5">
        <w:t xml:space="preserve"> </w:t>
      </w:r>
      <w:proofErr w:type="gramStart"/>
      <w:r w:rsidR="0CA4F9F5">
        <w:t>evaluation</w:t>
      </w:r>
      <w:bookmarkEnd w:id="0"/>
      <w:bookmarkEnd w:id="1"/>
      <w:bookmarkEnd w:id="2"/>
      <w:r w:rsidR="005049E7">
        <w:t>s</w:t>
      </w:r>
      <w:proofErr w:type="gramEnd"/>
    </w:p>
    <w:sdt>
      <w:sdtPr>
        <w:rPr>
          <w:highlight w:val="yellow"/>
          <w:shd w:val="clear" w:color="auto" w:fill="E6E6E6"/>
        </w:rPr>
        <w:id w:val="-1983383370"/>
        <w:docPartObj>
          <w:docPartGallery w:val="Table of Contents"/>
          <w:docPartUnique/>
        </w:docPartObj>
      </w:sdtPr>
      <w:sdtEndPr>
        <w:rPr>
          <w:highlight w:val="none"/>
        </w:rPr>
      </w:sdtEndPr>
      <w:sdtContent>
        <w:p w14:paraId="488DDB3E" w14:textId="3B584AA5" w:rsidR="00C86F6C" w:rsidRPr="00206599" w:rsidRDefault="00206599" w:rsidP="005049E7">
          <w:pPr>
            <w:pStyle w:val="Guidanceissuedate"/>
          </w:pPr>
          <w:r w:rsidRPr="00206599">
            <w:rPr>
              <w:shd w:val="clear" w:color="auto" w:fill="E6E6E6"/>
            </w:rPr>
            <w:t>24/04/2</w:t>
          </w:r>
          <w:r w:rsidR="008909D9">
            <w:rPr>
              <w:shd w:val="clear" w:color="auto" w:fill="E6E6E6"/>
            </w:rPr>
            <w:t>023</w:t>
          </w:r>
        </w:p>
      </w:sdtContent>
    </w:sdt>
    <w:p w14:paraId="3352E30A" w14:textId="7CC75B9E" w:rsidR="00960029" w:rsidRDefault="00454455" w:rsidP="00FF1197">
      <w:pPr>
        <w:pStyle w:val="Numberedheading1"/>
        <w:rPr>
          <w:lang w:eastAsia="en-GB"/>
        </w:rPr>
      </w:pPr>
      <w:bookmarkStart w:id="3" w:name="_Toc132121903"/>
      <w:bookmarkStart w:id="4" w:name="_Toc132202186"/>
      <w:bookmarkStart w:id="5" w:name="section1"/>
      <w:r w:rsidRPr="00AF28B4">
        <w:rPr>
          <w:lang w:eastAsia="en-GB"/>
        </w:rPr>
        <w:t>Who sees which documents and when</w:t>
      </w:r>
      <w:bookmarkEnd w:id="3"/>
      <w:bookmarkEnd w:id="4"/>
      <w:r w:rsidR="00C12EE0">
        <w:rPr>
          <w:lang w:eastAsia="en-GB"/>
        </w:rPr>
        <w:t>?</w:t>
      </w:r>
    </w:p>
    <w:bookmarkEnd w:id="5"/>
    <w:p w14:paraId="0B3F808D" w14:textId="4F4BCD5E" w:rsidR="00284AA6" w:rsidRPr="00284AA6" w:rsidRDefault="00EE0B59" w:rsidP="00FF1197">
      <w:pPr>
        <w:pStyle w:val="Caption"/>
        <w:rPr>
          <w:lang w:eastAsia="en-GB"/>
        </w:rPr>
      </w:pPr>
      <w:r>
        <w:rPr>
          <w:lang w:eastAsia="en-GB"/>
        </w:rPr>
        <w:t>Table 1.</w:t>
      </w:r>
      <w:r w:rsidR="009C3A99">
        <w:rPr>
          <w:lang w:eastAsia="en-GB"/>
        </w:rPr>
        <w:t>1</w:t>
      </w:r>
      <w:r>
        <w:rPr>
          <w:lang w:eastAsia="en-GB"/>
        </w:rPr>
        <w:t xml:space="preserve"> </w:t>
      </w:r>
      <w:r w:rsidR="00960029" w:rsidRPr="00AF28B4">
        <w:rPr>
          <w:lang w:eastAsia="en-GB"/>
        </w:rPr>
        <w:t>Unredacted documents and files</w:t>
      </w:r>
    </w:p>
    <w:tbl>
      <w:tblPr>
        <w:tblStyle w:val="TableGridLight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  <w:tblCaption w:val="Table 1.1 Unredacted documents and files"/>
        <w:tblDescription w:val="Table detailing who will see unredacted documents and files and when they will see them."/>
      </w:tblPr>
      <w:tblGrid>
        <w:gridCol w:w="2765"/>
        <w:gridCol w:w="6586"/>
        <w:gridCol w:w="4819"/>
      </w:tblGrid>
      <w:tr w:rsidR="00B2625D" w14:paraId="548C99B9" w14:textId="77777777" w:rsidTr="005213B5">
        <w:tc>
          <w:tcPr>
            <w:tcW w:w="2765" w:type="dxa"/>
          </w:tcPr>
          <w:p w14:paraId="0CA7F90A" w14:textId="29DEC6D6" w:rsidR="00B2625D" w:rsidRDefault="00284AA6" w:rsidP="00FF1197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>Document or file</w:t>
            </w:r>
          </w:p>
        </w:tc>
        <w:tc>
          <w:tcPr>
            <w:tcW w:w="6586" w:type="dxa"/>
          </w:tcPr>
          <w:p w14:paraId="2309B539" w14:textId="15D286A7" w:rsidR="00B2625D" w:rsidRDefault="003E5815" w:rsidP="00FF1197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>W</w:t>
            </w:r>
            <w:r w:rsidR="00B2625D">
              <w:rPr>
                <w:lang w:eastAsia="en-GB"/>
              </w:rPr>
              <w:t>ho</w:t>
            </w:r>
          </w:p>
        </w:tc>
        <w:tc>
          <w:tcPr>
            <w:tcW w:w="4819" w:type="dxa"/>
          </w:tcPr>
          <w:p w14:paraId="467A1536" w14:textId="7AE2E575" w:rsidR="00B2625D" w:rsidRDefault="003E5815" w:rsidP="00FF1197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 xml:space="preserve">When </w:t>
            </w:r>
          </w:p>
        </w:tc>
      </w:tr>
      <w:tr w:rsidR="00B2625D" w14:paraId="54A387F3" w14:textId="77777777" w:rsidTr="005213B5">
        <w:tc>
          <w:tcPr>
            <w:tcW w:w="2765" w:type="dxa"/>
          </w:tcPr>
          <w:p w14:paraId="39CC1B6E" w14:textId="5C20A8CB" w:rsidR="008936BA" w:rsidRDefault="00B2625D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 xml:space="preserve">Unredacted company </w:t>
            </w:r>
            <w:r w:rsidR="00982B5F" w:rsidRPr="61642BD2">
              <w:rPr>
                <w:lang w:eastAsia="en-GB"/>
              </w:rPr>
              <w:t xml:space="preserve">and non-company </w:t>
            </w:r>
            <w:r w:rsidRPr="61642BD2">
              <w:rPr>
                <w:lang w:eastAsia="en-GB"/>
              </w:rPr>
              <w:t>submission document</w:t>
            </w:r>
            <w:r w:rsidR="00AF28B4" w:rsidRPr="61642BD2">
              <w:rPr>
                <w:lang w:eastAsia="en-GB"/>
              </w:rPr>
              <w:t>s</w:t>
            </w:r>
            <w:r w:rsidR="008936BA" w:rsidRPr="61642BD2">
              <w:rPr>
                <w:lang w:eastAsia="en-GB"/>
              </w:rPr>
              <w:t>.</w:t>
            </w:r>
          </w:p>
          <w:p w14:paraId="1D60BEF8" w14:textId="77777777" w:rsidR="00F00CCC" w:rsidRDefault="00F00CCC" w:rsidP="00FF1197">
            <w:pPr>
              <w:pStyle w:val="Tabletext"/>
              <w:rPr>
                <w:lang w:eastAsia="en-GB"/>
              </w:rPr>
            </w:pPr>
          </w:p>
          <w:p w14:paraId="40A789E0" w14:textId="2B98385F" w:rsidR="00B2625D" w:rsidRDefault="008936BA" w:rsidP="61642BD2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>This includes all documents in response to clarification, technical engagement</w:t>
            </w:r>
            <w:r w:rsidR="00E23D06" w:rsidRPr="61642BD2">
              <w:rPr>
                <w:lang w:eastAsia="en-GB"/>
              </w:rPr>
              <w:t xml:space="preserve"> (</w:t>
            </w:r>
            <w:r w:rsidR="00B16BDE">
              <w:rPr>
                <w:lang w:eastAsia="en-GB"/>
              </w:rPr>
              <w:t>when included in the process</w:t>
            </w:r>
            <w:r w:rsidR="00E23D06" w:rsidRPr="61642BD2">
              <w:rPr>
                <w:lang w:eastAsia="en-GB"/>
              </w:rPr>
              <w:t>)</w:t>
            </w:r>
            <w:r w:rsidRPr="61642BD2">
              <w:rPr>
                <w:lang w:eastAsia="en-GB"/>
              </w:rPr>
              <w:t xml:space="preserve"> and addenda</w:t>
            </w:r>
            <w:r w:rsidR="00E23D06" w:rsidRPr="61642BD2">
              <w:rPr>
                <w:lang w:eastAsia="en-GB"/>
              </w:rPr>
              <w:t>.</w:t>
            </w:r>
          </w:p>
          <w:p w14:paraId="434F953D" w14:textId="77A2C26A" w:rsidR="00B2625D" w:rsidRDefault="00B2625D" w:rsidP="61642BD2">
            <w:pPr>
              <w:pStyle w:val="Tabletext"/>
              <w:rPr>
                <w:lang w:eastAsia="en-GB"/>
              </w:rPr>
            </w:pPr>
          </w:p>
          <w:p w14:paraId="5E319A13" w14:textId="4CDC0895" w:rsidR="00B2625D" w:rsidRDefault="2A9D9B6E" w:rsidP="00FF1197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>These company submission documents are included in the committee papers.</w:t>
            </w:r>
          </w:p>
        </w:tc>
        <w:tc>
          <w:tcPr>
            <w:tcW w:w="6586" w:type="dxa"/>
          </w:tcPr>
          <w:p w14:paraId="2B0B374B" w14:textId="77777777" w:rsidR="00B2625D" w:rsidRDefault="00B2625D" w:rsidP="00FF1197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NICE staff</w:t>
            </w:r>
          </w:p>
          <w:p w14:paraId="4066BAD1" w14:textId="5B45590F" w:rsidR="00B2625D" w:rsidRDefault="00B2625D" w:rsidP="00FF1197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E</w:t>
            </w:r>
            <w:r w:rsidR="00AF28B4">
              <w:rPr>
                <w:lang w:eastAsia="en-GB"/>
              </w:rPr>
              <w:t xml:space="preserve">xternal </w:t>
            </w:r>
            <w:r w:rsidR="00E23D06">
              <w:rPr>
                <w:lang w:eastAsia="en-GB"/>
              </w:rPr>
              <w:t>a</w:t>
            </w:r>
            <w:r w:rsidR="00AF28B4">
              <w:rPr>
                <w:lang w:eastAsia="en-GB"/>
              </w:rPr>
              <w:t xml:space="preserve">ssessment </w:t>
            </w:r>
            <w:r w:rsidR="00E23D06">
              <w:rPr>
                <w:lang w:eastAsia="en-GB"/>
              </w:rPr>
              <w:t>g</w:t>
            </w:r>
            <w:r w:rsidR="00AF28B4">
              <w:rPr>
                <w:lang w:eastAsia="en-GB"/>
              </w:rPr>
              <w:t>roup (EAG)</w:t>
            </w:r>
          </w:p>
          <w:p w14:paraId="129ED16A" w14:textId="0E767509" w:rsidR="00B2625D" w:rsidRDefault="00B2625D" w:rsidP="00FF1197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Committee members without conflicts of interest</w:t>
            </w:r>
            <w:r w:rsidR="008936BA">
              <w:rPr>
                <w:lang w:eastAsia="en-GB"/>
              </w:rPr>
              <w:t xml:space="preserve"> and who have signed a confidentiality </w:t>
            </w:r>
            <w:proofErr w:type="gramStart"/>
            <w:r w:rsidR="008936BA">
              <w:rPr>
                <w:lang w:eastAsia="en-GB"/>
              </w:rPr>
              <w:t>agreement</w:t>
            </w:r>
            <w:proofErr w:type="gramEnd"/>
          </w:p>
          <w:p w14:paraId="142FEC50" w14:textId="20350123" w:rsidR="00B2625D" w:rsidRDefault="00B2625D" w:rsidP="00FF1197">
            <w:pPr>
              <w:pStyle w:val="Tablebullet"/>
              <w:rPr>
                <w:lang w:eastAsia="en-GB"/>
              </w:rPr>
            </w:pPr>
            <w:r w:rsidRPr="798F0520">
              <w:rPr>
                <w:lang w:eastAsia="en-GB"/>
              </w:rPr>
              <w:t>Patient</w:t>
            </w:r>
            <w:r w:rsidR="00796911" w:rsidRPr="798F0520">
              <w:rPr>
                <w:lang w:eastAsia="en-GB"/>
              </w:rPr>
              <w:t xml:space="preserve"> and</w:t>
            </w:r>
            <w:r w:rsidR="003B42E2" w:rsidRPr="798F0520">
              <w:rPr>
                <w:lang w:eastAsia="en-GB"/>
              </w:rPr>
              <w:t xml:space="preserve"> </w:t>
            </w:r>
            <w:r w:rsidRPr="798F0520">
              <w:rPr>
                <w:lang w:eastAsia="en-GB"/>
              </w:rPr>
              <w:t>clinical</w:t>
            </w:r>
            <w:r w:rsidR="00796911" w:rsidRPr="798F0520">
              <w:rPr>
                <w:lang w:eastAsia="en-GB"/>
              </w:rPr>
              <w:t xml:space="preserve"> experts</w:t>
            </w:r>
            <w:r w:rsidR="0C68392A" w:rsidRPr="798F0520">
              <w:rPr>
                <w:lang w:eastAsia="en-GB"/>
              </w:rPr>
              <w:t xml:space="preserve"> </w:t>
            </w:r>
            <w:r w:rsidR="00AF28B4" w:rsidRPr="798F0520">
              <w:rPr>
                <w:lang w:eastAsia="en-GB"/>
              </w:rPr>
              <w:t xml:space="preserve">who </w:t>
            </w:r>
            <w:r w:rsidRPr="798F0520">
              <w:rPr>
                <w:lang w:eastAsia="en-GB"/>
              </w:rPr>
              <w:t xml:space="preserve">have </w:t>
            </w:r>
            <w:r w:rsidR="2B9F7B82" w:rsidRPr="798F0520">
              <w:rPr>
                <w:lang w:eastAsia="en-GB"/>
              </w:rPr>
              <w:t xml:space="preserve">been formally selected and </w:t>
            </w:r>
            <w:r w:rsidRPr="798F0520">
              <w:rPr>
                <w:lang w:eastAsia="en-GB"/>
              </w:rPr>
              <w:t xml:space="preserve">signed a confidentiality </w:t>
            </w:r>
            <w:proofErr w:type="gramStart"/>
            <w:r w:rsidRPr="798F0520">
              <w:rPr>
                <w:lang w:eastAsia="en-GB"/>
              </w:rPr>
              <w:t>agreement</w:t>
            </w:r>
            <w:proofErr w:type="gramEnd"/>
          </w:p>
          <w:p w14:paraId="1FA63C10" w14:textId="4832B631" w:rsidR="00796911" w:rsidRDefault="00796911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NHS</w:t>
            </w:r>
            <w:r w:rsidR="002676F6" w:rsidRPr="61642BD2">
              <w:rPr>
                <w:lang w:eastAsia="en-GB"/>
              </w:rPr>
              <w:t xml:space="preserve"> </w:t>
            </w:r>
            <w:r w:rsidRPr="61642BD2">
              <w:rPr>
                <w:lang w:eastAsia="en-GB"/>
              </w:rPr>
              <w:t xml:space="preserve">commissioning experts attending the committee </w:t>
            </w:r>
            <w:proofErr w:type="gramStart"/>
            <w:r w:rsidRPr="61642BD2">
              <w:rPr>
                <w:lang w:eastAsia="en-GB"/>
              </w:rPr>
              <w:t>meeting</w:t>
            </w:r>
            <w:proofErr w:type="gramEnd"/>
          </w:p>
          <w:p w14:paraId="2FF0AE69" w14:textId="144F0EFD" w:rsidR="00AF28B4" w:rsidRDefault="00AF28B4" w:rsidP="00FF1197">
            <w:pPr>
              <w:pStyle w:val="Tablebullet"/>
              <w:numPr>
                <w:ilvl w:val="0"/>
                <w:numId w:val="0"/>
              </w:numPr>
              <w:ind w:left="360"/>
              <w:rPr>
                <w:lang w:eastAsia="en-GB"/>
              </w:rPr>
            </w:pPr>
          </w:p>
        </w:tc>
        <w:tc>
          <w:tcPr>
            <w:tcW w:w="4819" w:type="dxa"/>
          </w:tcPr>
          <w:p w14:paraId="59B536C0" w14:textId="5C8456FB" w:rsidR="00B2625D" w:rsidRDefault="003E5815" w:rsidP="00FF1197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NICE staff</w:t>
            </w:r>
            <w:r w:rsidR="00F72932">
              <w:rPr>
                <w:lang w:eastAsia="en-GB"/>
              </w:rPr>
              <w:t xml:space="preserve"> and </w:t>
            </w:r>
            <w:r>
              <w:rPr>
                <w:lang w:eastAsia="en-GB"/>
              </w:rPr>
              <w:t>EAG</w:t>
            </w:r>
            <w:r w:rsidR="00F72932">
              <w:rPr>
                <w:lang w:eastAsia="en-GB"/>
              </w:rPr>
              <w:t>:</w:t>
            </w:r>
            <w:r>
              <w:rPr>
                <w:lang w:eastAsia="en-GB"/>
              </w:rPr>
              <w:t xml:space="preserve"> at submission to NICE</w:t>
            </w:r>
          </w:p>
          <w:p w14:paraId="6E5F104E" w14:textId="1A5D9DAD" w:rsidR="003E5815" w:rsidRDefault="003E5815" w:rsidP="00FF1197">
            <w:pPr>
              <w:pStyle w:val="Tablebullet"/>
              <w:rPr>
                <w:lang w:eastAsia="en-GB"/>
              </w:rPr>
            </w:pPr>
            <w:r w:rsidRPr="64417CD4">
              <w:rPr>
                <w:lang w:eastAsia="en-GB"/>
              </w:rPr>
              <w:t>Committee members</w:t>
            </w:r>
            <w:r w:rsidR="00F72932">
              <w:rPr>
                <w:lang w:eastAsia="en-GB"/>
              </w:rPr>
              <w:t>:</w:t>
            </w:r>
            <w:r w:rsidRPr="64417CD4">
              <w:rPr>
                <w:lang w:eastAsia="en-GB"/>
              </w:rPr>
              <w:t xml:space="preserve"> </w:t>
            </w:r>
            <w:r w:rsidR="6112E64A" w:rsidRPr="64417CD4">
              <w:rPr>
                <w:lang w:eastAsia="en-GB"/>
              </w:rPr>
              <w:t>1</w:t>
            </w:r>
            <w:r w:rsidR="00F72932">
              <w:rPr>
                <w:lang w:eastAsia="en-GB"/>
              </w:rPr>
              <w:t xml:space="preserve"> to </w:t>
            </w:r>
            <w:r w:rsidR="6F10E2A7" w:rsidRPr="64417CD4">
              <w:rPr>
                <w:lang w:eastAsia="en-GB"/>
              </w:rPr>
              <w:t>2</w:t>
            </w:r>
            <w:r w:rsidR="00F72932">
              <w:rPr>
                <w:lang w:eastAsia="en-GB"/>
              </w:rPr>
              <w:t> </w:t>
            </w:r>
            <w:r w:rsidRPr="64417CD4">
              <w:rPr>
                <w:lang w:eastAsia="en-GB"/>
              </w:rPr>
              <w:t xml:space="preserve">weeks </w:t>
            </w:r>
            <w:r w:rsidR="00F72932">
              <w:rPr>
                <w:lang w:eastAsia="en-GB"/>
              </w:rPr>
              <w:t>before</w:t>
            </w:r>
            <w:r w:rsidRPr="64417CD4">
              <w:rPr>
                <w:lang w:eastAsia="en-GB"/>
              </w:rPr>
              <w:t xml:space="preserve"> </w:t>
            </w:r>
            <w:r w:rsidR="00787B87">
              <w:rPr>
                <w:lang w:eastAsia="en-GB"/>
              </w:rPr>
              <w:t xml:space="preserve">the </w:t>
            </w:r>
            <w:r w:rsidRPr="64417CD4">
              <w:rPr>
                <w:lang w:eastAsia="en-GB"/>
              </w:rPr>
              <w:t>committee meeting</w:t>
            </w:r>
          </w:p>
          <w:p w14:paraId="3F5FAE03" w14:textId="63B23403" w:rsidR="003E5815" w:rsidRDefault="003E5815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Patient</w:t>
            </w:r>
            <w:r w:rsidR="2E4745D8" w:rsidRPr="61642BD2">
              <w:rPr>
                <w:lang w:eastAsia="en-GB"/>
              </w:rPr>
              <w:t>,</w:t>
            </w:r>
            <w:r w:rsidRPr="61642BD2">
              <w:rPr>
                <w:lang w:eastAsia="en-GB"/>
              </w:rPr>
              <w:t xml:space="preserve"> clinical</w:t>
            </w:r>
            <w:r w:rsidR="7DF92217" w:rsidRPr="61642BD2">
              <w:rPr>
                <w:lang w:eastAsia="en-GB"/>
              </w:rPr>
              <w:t xml:space="preserve"> and </w:t>
            </w:r>
            <w:r w:rsidR="00E23D06" w:rsidRPr="61642BD2">
              <w:rPr>
                <w:lang w:eastAsia="en-GB"/>
              </w:rPr>
              <w:t xml:space="preserve">NHS </w:t>
            </w:r>
            <w:r w:rsidR="7DF92217" w:rsidRPr="61642BD2">
              <w:rPr>
                <w:lang w:eastAsia="en-GB"/>
              </w:rPr>
              <w:t>commissioning</w:t>
            </w:r>
            <w:r w:rsidRPr="61642BD2">
              <w:rPr>
                <w:lang w:eastAsia="en-GB"/>
              </w:rPr>
              <w:t xml:space="preserve"> experts</w:t>
            </w:r>
            <w:r w:rsidR="00F72932" w:rsidRPr="61642BD2">
              <w:rPr>
                <w:lang w:eastAsia="en-GB"/>
              </w:rPr>
              <w:t>:</w:t>
            </w:r>
            <w:r w:rsidRPr="61642BD2">
              <w:rPr>
                <w:lang w:eastAsia="en-GB"/>
              </w:rPr>
              <w:t xml:space="preserve"> </w:t>
            </w:r>
            <w:r w:rsidR="06B96D6C" w:rsidRPr="61642BD2">
              <w:rPr>
                <w:lang w:eastAsia="en-GB"/>
              </w:rPr>
              <w:t>1</w:t>
            </w:r>
            <w:r w:rsidR="00F72932" w:rsidRPr="61642BD2">
              <w:rPr>
                <w:lang w:eastAsia="en-GB"/>
              </w:rPr>
              <w:t xml:space="preserve"> to </w:t>
            </w:r>
            <w:r w:rsidR="06B96D6C" w:rsidRPr="61642BD2">
              <w:rPr>
                <w:lang w:eastAsia="en-GB"/>
              </w:rPr>
              <w:t>2</w:t>
            </w:r>
            <w:r w:rsidR="5AAC4FE6" w:rsidRPr="61642BD2">
              <w:rPr>
                <w:lang w:eastAsia="en-GB"/>
              </w:rPr>
              <w:t xml:space="preserve"> </w:t>
            </w:r>
            <w:r w:rsidRPr="61642BD2">
              <w:rPr>
                <w:lang w:eastAsia="en-GB"/>
              </w:rPr>
              <w:t>weeks</w:t>
            </w:r>
            <w:r w:rsidR="0A101B5B" w:rsidRPr="61642BD2">
              <w:rPr>
                <w:lang w:eastAsia="en-GB"/>
              </w:rPr>
              <w:t xml:space="preserve"> </w:t>
            </w:r>
            <w:r w:rsidR="00F72932" w:rsidRPr="61642BD2">
              <w:rPr>
                <w:lang w:eastAsia="en-GB"/>
              </w:rPr>
              <w:t>before</w:t>
            </w:r>
            <w:r w:rsidR="0A101B5B" w:rsidRPr="61642BD2">
              <w:rPr>
                <w:lang w:eastAsia="en-GB"/>
              </w:rPr>
              <w:t xml:space="preserve"> </w:t>
            </w:r>
            <w:r w:rsidR="00787B87" w:rsidRPr="61642BD2">
              <w:rPr>
                <w:lang w:eastAsia="en-GB"/>
              </w:rPr>
              <w:t xml:space="preserve">the </w:t>
            </w:r>
            <w:r w:rsidR="0A101B5B" w:rsidRPr="61642BD2">
              <w:rPr>
                <w:lang w:eastAsia="en-GB"/>
              </w:rPr>
              <w:t>committee meeting</w:t>
            </w:r>
            <w:r w:rsidR="00F72932" w:rsidRPr="61642BD2">
              <w:rPr>
                <w:lang w:eastAsia="en-GB"/>
              </w:rPr>
              <w:t>,</w:t>
            </w:r>
            <w:r w:rsidR="00F24AEE" w:rsidRPr="61642BD2">
              <w:rPr>
                <w:lang w:eastAsia="en-GB"/>
              </w:rPr>
              <w:t xml:space="preserve"> or at </w:t>
            </w:r>
            <w:r w:rsidR="003B42E2" w:rsidRPr="61642BD2">
              <w:rPr>
                <w:lang w:eastAsia="en-GB"/>
              </w:rPr>
              <w:t xml:space="preserve">technical engagement </w:t>
            </w:r>
            <w:r w:rsidR="00F72932" w:rsidRPr="61642BD2">
              <w:rPr>
                <w:lang w:eastAsia="en-GB"/>
              </w:rPr>
              <w:t>(</w:t>
            </w:r>
            <w:r w:rsidR="00B16BDE">
              <w:rPr>
                <w:lang w:eastAsia="en-GB"/>
              </w:rPr>
              <w:t>when included in the process</w:t>
            </w:r>
            <w:r w:rsidR="00F72932" w:rsidRPr="61642BD2">
              <w:rPr>
                <w:lang w:eastAsia="en-GB"/>
              </w:rPr>
              <w:t>)</w:t>
            </w:r>
          </w:p>
        </w:tc>
      </w:tr>
      <w:tr w:rsidR="00B2625D" w14:paraId="645852B9" w14:textId="77777777" w:rsidTr="005213B5">
        <w:tc>
          <w:tcPr>
            <w:tcW w:w="2765" w:type="dxa"/>
          </w:tcPr>
          <w:p w14:paraId="09154B21" w14:textId="46823CFE" w:rsidR="00B2625D" w:rsidRDefault="00B2625D" w:rsidP="003822A1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Methodological appendices to company submission</w:t>
            </w:r>
            <w:r w:rsidR="001043D6">
              <w:rPr>
                <w:lang w:eastAsia="en-GB"/>
              </w:rPr>
              <w:t> </w:t>
            </w:r>
            <w:r>
              <w:rPr>
                <w:lang w:eastAsia="en-GB"/>
              </w:rPr>
              <w:t>B</w:t>
            </w:r>
            <w:r w:rsidR="000A6B88">
              <w:rPr>
                <w:lang w:eastAsia="en-GB"/>
              </w:rPr>
              <w:t>.</w:t>
            </w:r>
          </w:p>
          <w:p w14:paraId="20A34D78" w14:textId="77613E64" w:rsidR="001C32FF" w:rsidRDefault="001C32FF" w:rsidP="00FF1197">
            <w:pPr>
              <w:pStyle w:val="Tabletext"/>
              <w:rPr>
                <w:lang w:eastAsia="en-GB"/>
              </w:rPr>
            </w:pPr>
          </w:p>
        </w:tc>
        <w:tc>
          <w:tcPr>
            <w:tcW w:w="6586" w:type="dxa"/>
          </w:tcPr>
          <w:p w14:paraId="0AEF0A64" w14:textId="77777777" w:rsidR="00B2625D" w:rsidRDefault="00B2625D" w:rsidP="00FF1197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NICE staff</w:t>
            </w:r>
          </w:p>
          <w:p w14:paraId="7AEED6EE" w14:textId="04F4C292" w:rsidR="00B2625D" w:rsidRDefault="00B2625D" w:rsidP="00FF1197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EAG (</w:t>
            </w:r>
            <w:r w:rsidR="001043D6">
              <w:rPr>
                <w:lang w:eastAsia="en-GB"/>
              </w:rPr>
              <w:t xml:space="preserve">the EAG adheres to the company’s confidential marking </w:t>
            </w:r>
            <w:r w:rsidR="00F72932">
              <w:rPr>
                <w:lang w:eastAsia="en-GB"/>
              </w:rPr>
              <w:t>i</w:t>
            </w:r>
            <w:r>
              <w:rPr>
                <w:lang w:eastAsia="en-GB"/>
              </w:rPr>
              <w:t xml:space="preserve">f </w:t>
            </w:r>
            <w:r w:rsidR="001043D6">
              <w:rPr>
                <w:lang w:eastAsia="en-GB"/>
              </w:rPr>
              <w:t>it</w:t>
            </w:r>
            <w:r>
              <w:rPr>
                <w:lang w:eastAsia="en-GB"/>
              </w:rPr>
              <w:t xml:space="preserve"> refer</w:t>
            </w:r>
            <w:r w:rsidR="001043D6">
              <w:rPr>
                <w:lang w:eastAsia="en-GB"/>
              </w:rPr>
              <w:t>s</w:t>
            </w:r>
            <w:r>
              <w:rPr>
                <w:lang w:eastAsia="en-GB"/>
              </w:rPr>
              <w:t xml:space="preserve"> to data from these appendices in its report</w:t>
            </w:r>
            <w:r w:rsidR="003E5815">
              <w:rPr>
                <w:lang w:eastAsia="en-GB"/>
              </w:rPr>
              <w:t>)</w:t>
            </w:r>
          </w:p>
          <w:p w14:paraId="37B85D5A" w14:textId="6F64C03C" w:rsidR="008936BA" w:rsidRDefault="008936BA" w:rsidP="00FF1197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Committee members without conflicts of interest and who have signed a confidentiality </w:t>
            </w:r>
            <w:proofErr w:type="gramStart"/>
            <w:r>
              <w:rPr>
                <w:lang w:eastAsia="en-GB"/>
              </w:rPr>
              <w:t>agreement</w:t>
            </w:r>
            <w:proofErr w:type="gramEnd"/>
            <w:r>
              <w:rPr>
                <w:lang w:eastAsia="en-GB"/>
              </w:rPr>
              <w:t xml:space="preserve"> </w:t>
            </w:r>
          </w:p>
          <w:p w14:paraId="33DFC66B" w14:textId="4FFB68C3" w:rsidR="008936BA" w:rsidRDefault="008936BA" w:rsidP="00FF1197">
            <w:pPr>
              <w:pStyle w:val="Tablebullet"/>
              <w:numPr>
                <w:ilvl w:val="0"/>
                <w:numId w:val="0"/>
              </w:numPr>
              <w:ind w:left="360"/>
              <w:rPr>
                <w:lang w:eastAsia="en-GB"/>
              </w:rPr>
            </w:pPr>
          </w:p>
        </w:tc>
        <w:tc>
          <w:tcPr>
            <w:tcW w:w="4819" w:type="dxa"/>
          </w:tcPr>
          <w:p w14:paraId="36AB6DAB" w14:textId="77777777" w:rsidR="00B2625D" w:rsidRDefault="006775D3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At submission to NICE</w:t>
            </w:r>
          </w:p>
          <w:p w14:paraId="32F617D7" w14:textId="77777777" w:rsidR="00AB5640" w:rsidRDefault="00AB5640">
            <w:pPr>
              <w:pStyle w:val="Tabletext"/>
              <w:rPr>
                <w:lang w:eastAsia="en-GB"/>
              </w:rPr>
            </w:pPr>
          </w:p>
          <w:p w14:paraId="2ACBB7D6" w14:textId="072F9F82" w:rsidR="00AB5640" w:rsidRDefault="00AB5640" w:rsidP="00FF1197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 xml:space="preserve">These are sent </w:t>
            </w:r>
            <w:r w:rsidR="001C25C7" w:rsidRPr="61642BD2">
              <w:rPr>
                <w:lang w:eastAsia="en-GB"/>
              </w:rPr>
              <w:t xml:space="preserve">to committee members </w:t>
            </w:r>
            <w:r w:rsidRPr="61642BD2">
              <w:rPr>
                <w:lang w:eastAsia="en-GB"/>
              </w:rPr>
              <w:t>as separate documents to the committee papers</w:t>
            </w:r>
          </w:p>
        </w:tc>
      </w:tr>
      <w:tr w:rsidR="00B2625D" w14:paraId="5667108F" w14:textId="77777777" w:rsidTr="005213B5">
        <w:tc>
          <w:tcPr>
            <w:tcW w:w="2765" w:type="dxa"/>
          </w:tcPr>
          <w:p w14:paraId="5A736159" w14:textId="7B8546E4" w:rsidR="00B2625D" w:rsidRDefault="003E5815" w:rsidP="003822A1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Unredacted c</w:t>
            </w:r>
            <w:r w:rsidR="00B2625D">
              <w:rPr>
                <w:lang w:eastAsia="en-GB"/>
              </w:rPr>
              <w:t>ompany model (and updated versions including EAG scenarios)</w:t>
            </w:r>
            <w:r w:rsidR="001043D6">
              <w:rPr>
                <w:lang w:eastAsia="en-GB"/>
              </w:rPr>
              <w:t>.</w:t>
            </w:r>
          </w:p>
          <w:p w14:paraId="2B6A7613" w14:textId="1631CBCE" w:rsidR="001C32FF" w:rsidRDefault="001C32FF" w:rsidP="00FF1197">
            <w:pPr>
              <w:pStyle w:val="Tabletext"/>
              <w:rPr>
                <w:lang w:eastAsia="en-GB"/>
              </w:rPr>
            </w:pPr>
          </w:p>
        </w:tc>
        <w:tc>
          <w:tcPr>
            <w:tcW w:w="6586" w:type="dxa"/>
          </w:tcPr>
          <w:p w14:paraId="34C96E27" w14:textId="77777777" w:rsidR="00B2625D" w:rsidRDefault="00B2625D" w:rsidP="00FF1197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NICE staff</w:t>
            </w:r>
          </w:p>
          <w:p w14:paraId="3622E251" w14:textId="77777777" w:rsidR="00B2625D" w:rsidRDefault="00B2625D" w:rsidP="00FF1197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EAG</w:t>
            </w:r>
          </w:p>
          <w:p w14:paraId="00B8D72F" w14:textId="4906EC4F" w:rsidR="001C32FF" w:rsidRDefault="008936BA" w:rsidP="003822A1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Committee members without conflicts of interest and who have signed a confidentiality </w:t>
            </w:r>
            <w:proofErr w:type="gramStart"/>
            <w:r>
              <w:rPr>
                <w:lang w:eastAsia="en-GB"/>
              </w:rPr>
              <w:t>agreement</w:t>
            </w:r>
            <w:proofErr w:type="gramEnd"/>
            <w:r>
              <w:rPr>
                <w:lang w:eastAsia="en-GB"/>
              </w:rPr>
              <w:t xml:space="preserve"> </w:t>
            </w:r>
          </w:p>
          <w:p w14:paraId="2E407BD6" w14:textId="22386F14" w:rsidR="008936BA" w:rsidRDefault="008936BA" w:rsidP="00FF1197">
            <w:pPr>
              <w:pStyle w:val="Tablebullet"/>
              <w:numPr>
                <w:ilvl w:val="0"/>
                <w:numId w:val="0"/>
              </w:numPr>
              <w:rPr>
                <w:lang w:eastAsia="en-GB"/>
              </w:rPr>
            </w:pPr>
          </w:p>
        </w:tc>
        <w:tc>
          <w:tcPr>
            <w:tcW w:w="4819" w:type="dxa"/>
          </w:tcPr>
          <w:p w14:paraId="20DA20D0" w14:textId="77777777" w:rsidR="00B2625D" w:rsidRDefault="006775D3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At submission to NICE</w:t>
            </w:r>
            <w:r w:rsidR="001C25C7">
              <w:rPr>
                <w:lang w:eastAsia="en-GB"/>
              </w:rPr>
              <w:t>.</w:t>
            </w:r>
          </w:p>
          <w:p w14:paraId="10CE3CA4" w14:textId="77777777" w:rsidR="001C25C7" w:rsidRDefault="001C25C7">
            <w:pPr>
              <w:pStyle w:val="Tabletext"/>
              <w:rPr>
                <w:lang w:eastAsia="en-GB"/>
              </w:rPr>
            </w:pPr>
          </w:p>
          <w:p w14:paraId="7ADB9EC6" w14:textId="6A0A0584" w:rsidR="001C25C7" w:rsidRDefault="001C25C7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This is sent </w:t>
            </w:r>
            <w:r w:rsidR="00F00CCC">
              <w:rPr>
                <w:lang w:eastAsia="en-GB"/>
              </w:rPr>
              <w:t xml:space="preserve">to committee members </w:t>
            </w:r>
            <w:r>
              <w:rPr>
                <w:lang w:eastAsia="en-GB"/>
              </w:rPr>
              <w:t>as a separate file to the committee papers</w:t>
            </w:r>
          </w:p>
        </w:tc>
      </w:tr>
    </w:tbl>
    <w:p w14:paraId="4AD334D3" w14:textId="78CDB508" w:rsidR="00B2625D" w:rsidRDefault="00B2625D" w:rsidP="00B2625D">
      <w:pPr>
        <w:pStyle w:val="Paragraph"/>
        <w:rPr>
          <w:lang w:eastAsia="en-GB"/>
        </w:rPr>
      </w:pPr>
    </w:p>
    <w:p w14:paraId="06A6F8E8" w14:textId="4D0BE78E" w:rsidR="006775D3" w:rsidRPr="00796911" w:rsidRDefault="00FD1E98" w:rsidP="00FF1197">
      <w:pPr>
        <w:pStyle w:val="Caption"/>
        <w:rPr>
          <w:lang w:eastAsia="en-GB"/>
        </w:rPr>
      </w:pPr>
      <w:r>
        <w:rPr>
          <w:lang w:eastAsia="en-GB"/>
        </w:rPr>
        <w:t xml:space="preserve">Table </w:t>
      </w:r>
      <w:r w:rsidR="009C3A99">
        <w:rPr>
          <w:lang w:eastAsia="en-GB"/>
        </w:rPr>
        <w:t>1.</w:t>
      </w:r>
      <w:r>
        <w:rPr>
          <w:lang w:eastAsia="en-GB"/>
        </w:rPr>
        <w:t xml:space="preserve">2 </w:t>
      </w:r>
      <w:r w:rsidR="006775D3" w:rsidRPr="00796911">
        <w:rPr>
          <w:lang w:eastAsia="en-GB"/>
        </w:rPr>
        <w:t>Redacted documents</w:t>
      </w:r>
      <w:r w:rsidR="5D765590" w:rsidRPr="00796911">
        <w:rPr>
          <w:lang w:eastAsia="en-GB"/>
        </w:rPr>
        <w:t xml:space="preserve"> and files</w:t>
      </w:r>
    </w:p>
    <w:tbl>
      <w:tblPr>
        <w:tblStyle w:val="TableGridLight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  <w:tblCaption w:val="Table 1.2 Redacted documents and files"/>
        <w:tblDescription w:val="Table detailing who will see redacted documents and files and when they will see them."/>
      </w:tblPr>
      <w:tblGrid>
        <w:gridCol w:w="6243"/>
        <w:gridCol w:w="1974"/>
        <w:gridCol w:w="5953"/>
      </w:tblGrid>
      <w:tr w:rsidR="006775D3" w14:paraId="6BD0F1A6" w14:textId="77777777" w:rsidTr="005213B5">
        <w:tc>
          <w:tcPr>
            <w:tcW w:w="6243" w:type="dxa"/>
          </w:tcPr>
          <w:p w14:paraId="6D49C24E" w14:textId="09FD68F6" w:rsidR="006775D3" w:rsidRDefault="00284AA6" w:rsidP="00FF1197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>Document or file</w:t>
            </w:r>
          </w:p>
        </w:tc>
        <w:tc>
          <w:tcPr>
            <w:tcW w:w="1974" w:type="dxa"/>
          </w:tcPr>
          <w:p w14:paraId="41B01C74" w14:textId="1D827C16" w:rsidR="006775D3" w:rsidRDefault="00F918AE" w:rsidP="00FF1197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>Wh</w:t>
            </w:r>
            <w:r w:rsidR="00C50BAF">
              <w:rPr>
                <w:lang w:eastAsia="en-GB"/>
              </w:rPr>
              <w:t>o</w:t>
            </w:r>
          </w:p>
        </w:tc>
        <w:tc>
          <w:tcPr>
            <w:tcW w:w="5953" w:type="dxa"/>
          </w:tcPr>
          <w:p w14:paraId="1C405A32" w14:textId="67A0C4A9" w:rsidR="006775D3" w:rsidRDefault="00F918AE" w:rsidP="00FF1197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>When</w:t>
            </w:r>
          </w:p>
        </w:tc>
      </w:tr>
      <w:tr w:rsidR="006775D3" w14:paraId="1DB8DF7C" w14:textId="77777777" w:rsidTr="005213B5">
        <w:tc>
          <w:tcPr>
            <w:tcW w:w="6243" w:type="dxa"/>
          </w:tcPr>
          <w:p w14:paraId="3453AF41" w14:textId="016E2BE6" w:rsidR="00C50BAF" w:rsidRDefault="00C50BAF" w:rsidP="00FF1197">
            <w:pPr>
              <w:pStyle w:val="Tabletext"/>
              <w:rPr>
                <w:lang w:eastAsia="en-GB"/>
              </w:rPr>
            </w:pPr>
            <w:r w:rsidRPr="4D4C3D97">
              <w:rPr>
                <w:lang w:eastAsia="en-GB"/>
              </w:rPr>
              <w:t>Model (on request, stakeholders receive conditions of use)</w:t>
            </w:r>
            <w:r w:rsidR="001043D6">
              <w:rPr>
                <w:lang w:eastAsia="en-GB"/>
              </w:rPr>
              <w:t>.</w:t>
            </w:r>
          </w:p>
          <w:p w14:paraId="4CAB34D5" w14:textId="77777777" w:rsidR="00FD1E98" w:rsidRDefault="00FD1E98" w:rsidP="003822A1">
            <w:pPr>
              <w:pStyle w:val="Tabletext"/>
              <w:rPr>
                <w:lang w:eastAsia="en-GB"/>
              </w:rPr>
            </w:pPr>
          </w:p>
          <w:p w14:paraId="09772A88" w14:textId="5690D7B4" w:rsidR="00C50BAF" w:rsidRDefault="01EC6C5D" w:rsidP="00FF1197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>Committee papers</w:t>
            </w:r>
            <w:r w:rsidR="00FD1E98" w:rsidRPr="61642BD2">
              <w:rPr>
                <w:lang w:eastAsia="en-GB"/>
              </w:rPr>
              <w:t xml:space="preserve">. For </w:t>
            </w:r>
            <w:r w:rsidR="001043D6" w:rsidRPr="61642BD2">
              <w:rPr>
                <w:lang w:eastAsia="en-GB"/>
              </w:rPr>
              <w:t>the first committee meeting,</w:t>
            </w:r>
            <w:r w:rsidR="00FD1E98" w:rsidRPr="61642BD2">
              <w:rPr>
                <w:lang w:eastAsia="en-GB"/>
              </w:rPr>
              <w:t xml:space="preserve"> these</w:t>
            </w:r>
            <w:r w:rsidRPr="61642BD2">
              <w:rPr>
                <w:lang w:eastAsia="en-GB"/>
              </w:rPr>
              <w:t xml:space="preserve"> include:</w:t>
            </w:r>
          </w:p>
          <w:p w14:paraId="3BA755AF" w14:textId="0DAFEAB6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Company submission</w:t>
            </w:r>
            <w:r w:rsidR="001043D6" w:rsidRPr="61642BD2">
              <w:rPr>
                <w:lang w:eastAsia="en-GB"/>
              </w:rPr>
              <w:t> </w:t>
            </w:r>
            <w:r w:rsidRPr="61642BD2">
              <w:rPr>
                <w:lang w:eastAsia="en-GB"/>
              </w:rPr>
              <w:t>B</w:t>
            </w:r>
          </w:p>
          <w:p w14:paraId="1D8EEFD8" w14:textId="77777777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Non-company stakeholder submissions</w:t>
            </w:r>
          </w:p>
          <w:p w14:paraId="7525A49E" w14:textId="77777777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Clarification responses from company</w:t>
            </w:r>
          </w:p>
          <w:p w14:paraId="40294340" w14:textId="4D15980A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EAG report (with any updates after factual accuracy and confidentiality marking check by company)</w:t>
            </w:r>
          </w:p>
          <w:p w14:paraId="0A05BFDA" w14:textId="77777777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Company’s factual accuracy check of EAG report</w:t>
            </w:r>
          </w:p>
          <w:p w14:paraId="199DBA41" w14:textId="30CC052F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lastRenderedPageBreak/>
              <w:t xml:space="preserve">If </w:t>
            </w:r>
            <w:r w:rsidR="7DC69FE0" w:rsidRPr="61642BD2">
              <w:rPr>
                <w:lang w:eastAsia="en-GB"/>
              </w:rPr>
              <w:t>applicab</w:t>
            </w:r>
            <w:r w:rsidR="4DBA0A0E" w:rsidRPr="61642BD2">
              <w:rPr>
                <w:lang w:eastAsia="en-GB"/>
              </w:rPr>
              <w:t>le</w:t>
            </w:r>
            <w:r w:rsidRPr="61642BD2">
              <w:rPr>
                <w:lang w:eastAsia="en-GB"/>
              </w:rPr>
              <w:t>, technical engagement responses and EAG critique of these responses</w:t>
            </w:r>
          </w:p>
          <w:p w14:paraId="52FF21F5" w14:textId="77777777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 xml:space="preserve">Addenda submitted over the course of the </w:t>
            </w:r>
            <w:proofErr w:type="gramStart"/>
            <w:r w:rsidRPr="61642BD2">
              <w:rPr>
                <w:lang w:eastAsia="en-GB"/>
              </w:rPr>
              <w:t>evaluation</w:t>
            </w:r>
            <w:proofErr w:type="gramEnd"/>
          </w:p>
          <w:p w14:paraId="20C6A5BF" w14:textId="77777777" w:rsidR="00C50BAF" w:rsidRDefault="00C50BAF" w:rsidP="003822A1">
            <w:pPr>
              <w:pStyle w:val="Tablebullet"/>
              <w:rPr>
                <w:lang w:eastAsia="en-GB"/>
              </w:rPr>
            </w:pPr>
            <w:r w:rsidRPr="7D931A38">
              <w:rPr>
                <w:lang w:eastAsia="en-GB"/>
              </w:rPr>
              <w:t>Committee slides</w:t>
            </w:r>
          </w:p>
          <w:p w14:paraId="326DD664" w14:textId="77777777" w:rsidR="00FD1E98" w:rsidRDefault="00FD1E98" w:rsidP="00FF1197">
            <w:pPr>
              <w:pStyle w:val="Tablebullet"/>
              <w:numPr>
                <w:ilvl w:val="0"/>
                <w:numId w:val="0"/>
              </w:numPr>
              <w:ind w:left="360"/>
              <w:rPr>
                <w:lang w:eastAsia="en-GB"/>
              </w:rPr>
            </w:pPr>
          </w:p>
          <w:p w14:paraId="7FD15FE2" w14:textId="1059413A" w:rsidR="00C50BAF" w:rsidRDefault="003822A1" w:rsidP="00FF1197">
            <w:pPr>
              <w:pStyle w:val="Tabletext"/>
              <w:rPr>
                <w:lang w:eastAsia="en-GB"/>
              </w:rPr>
            </w:pPr>
            <w:r>
              <w:t xml:space="preserve">Committee papers. </w:t>
            </w:r>
            <w:r w:rsidR="001043D6">
              <w:t>For the second committee meeting,</w:t>
            </w:r>
            <w:r>
              <w:t xml:space="preserve"> these include</w:t>
            </w:r>
            <w:r w:rsidR="00C50BAF" w:rsidRPr="7D931A38">
              <w:rPr>
                <w:lang w:eastAsia="en-GB"/>
              </w:rPr>
              <w:t>:</w:t>
            </w:r>
          </w:p>
          <w:p w14:paraId="1E585697" w14:textId="58828D06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Company draft guidance response</w:t>
            </w:r>
          </w:p>
          <w:p w14:paraId="3DFEB180" w14:textId="79262F07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 xml:space="preserve">Consultee </w:t>
            </w:r>
            <w:r w:rsidR="03E4B7D0" w:rsidRPr="61642BD2">
              <w:rPr>
                <w:lang w:eastAsia="en-GB"/>
              </w:rPr>
              <w:t>draft guidance</w:t>
            </w:r>
            <w:r w:rsidRPr="61642BD2">
              <w:rPr>
                <w:lang w:eastAsia="en-GB"/>
              </w:rPr>
              <w:t xml:space="preserve"> response</w:t>
            </w:r>
          </w:p>
          <w:p w14:paraId="6EEC62C0" w14:textId="48E72524" w:rsidR="00C50BAF" w:rsidRDefault="01EC6C5D" w:rsidP="00FF1197">
            <w:pPr>
              <w:pStyle w:val="Tablebullet"/>
            </w:pPr>
            <w:r w:rsidRPr="61642BD2">
              <w:rPr>
                <w:lang w:eastAsia="en-GB"/>
              </w:rPr>
              <w:t xml:space="preserve">EAG </w:t>
            </w:r>
            <w:r w:rsidR="03E4B7D0" w:rsidRPr="61642BD2">
              <w:rPr>
                <w:lang w:eastAsia="en-GB"/>
              </w:rPr>
              <w:t>draft guidance</w:t>
            </w:r>
            <w:r w:rsidRPr="61642BD2">
              <w:rPr>
                <w:lang w:eastAsia="en-GB"/>
              </w:rPr>
              <w:t xml:space="preserve"> response critique</w:t>
            </w:r>
          </w:p>
          <w:p w14:paraId="35C5055D" w14:textId="7D954520" w:rsidR="00C50BAF" w:rsidRDefault="01EC6C5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Committee slides</w:t>
            </w:r>
          </w:p>
          <w:p w14:paraId="49D36411" w14:textId="14686B60" w:rsidR="006775D3" w:rsidRDefault="006775D3" w:rsidP="003822A1">
            <w:pPr>
              <w:pStyle w:val="Paragraph"/>
              <w:rPr>
                <w:lang w:eastAsia="en-GB"/>
              </w:rPr>
            </w:pPr>
          </w:p>
        </w:tc>
        <w:tc>
          <w:tcPr>
            <w:tcW w:w="1974" w:type="dxa"/>
          </w:tcPr>
          <w:p w14:paraId="4DB2B645" w14:textId="037E9496" w:rsidR="00C50BAF" w:rsidRDefault="00C50BAF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All stakeholders</w:t>
            </w:r>
          </w:p>
        </w:tc>
        <w:tc>
          <w:tcPr>
            <w:tcW w:w="5953" w:type="dxa"/>
          </w:tcPr>
          <w:p w14:paraId="1049455F" w14:textId="4DA80AD2" w:rsidR="006775D3" w:rsidRDefault="460552D7" w:rsidP="61642BD2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 xml:space="preserve">If </w:t>
            </w:r>
            <w:r w:rsidR="01EC6C5D" w:rsidRPr="61642BD2">
              <w:rPr>
                <w:lang w:eastAsia="en-GB"/>
              </w:rPr>
              <w:t>technical engagement</w:t>
            </w:r>
            <w:r w:rsidRPr="61642BD2">
              <w:rPr>
                <w:lang w:eastAsia="en-GB"/>
              </w:rPr>
              <w:t xml:space="preserve"> </w:t>
            </w:r>
            <w:r w:rsidR="0FD6A1F0" w:rsidRPr="61642BD2">
              <w:rPr>
                <w:lang w:eastAsia="en-GB"/>
              </w:rPr>
              <w:t xml:space="preserve">is included in the </w:t>
            </w:r>
            <w:proofErr w:type="gramStart"/>
            <w:r w:rsidR="0FD6A1F0" w:rsidRPr="61642BD2">
              <w:rPr>
                <w:lang w:eastAsia="en-GB"/>
              </w:rPr>
              <w:t xml:space="preserve">process </w:t>
            </w:r>
            <w:r w:rsidRPr="61642BD2">
              <w:rPr>
                <w:lang w:eastAsia="en-GB"/>
              </w:rPr>
              <w:t xml:space="preserve"> stakeholders</w:t>
            </w:r>
            <w:proofErr w:type="gramEnd"/>
            <w:r w:rsidRPr="61642BD2">
              <w:rPr>
                <w:lang w:eastAsia="en-GB"/>
              </w:rPr>
              <w:t xml:space="preserve"> will see the company submission</w:t>
            </w:r>
            <w:r w:rsidR="01EC6C5D" w:rsidRPr="61642BD2">
              <w:rPr>
                <w:lang w:eastAsia="en-GB"/>
              </w:rPr>
              <w:t xml:space="preserve"> and </w:t>
            </w:r>
            <w:r w:rsidRPr="61642BD2">
              <w:rPr>
                <w:lang w:eastAsia="en-GB"/>
              </w:rPr>
              <w:t xml:space="preserve">EAG report at this point. </w:t>
            </w:r>
          </w:p>
          <w:p w14:paraId="47AD86B7" w14:textId="0F12CB5B" w:rsidR="006775D3" w:rsidRDefault="006775D3" w:rsidP="61642BD2">
            <w:pPr>
              <w:pStyle w:val="Tabletext"/>
              <w:rPr>
                <w:lang w:eastAsia="en-GB"/>
              </w:rPr>
            </w:pPr>
          </w:p>
          <w:p w14:paraId="360AEACB" w14:textId="42B3F567" w:rsidR="006775D3" w:rsidRDefault="460552D7" w:rsidP="00FF1197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>The model may be requested</w:t>
            </w:r>
            <w:r w:rsidR="25B1F14A" w:rsidRPr="61642BD2">
              <w:rPr>
                <w:lang w:eastAsia="en-GB"/>
              </w:rPr>
              <w:t xml:space="preserve"> at technical engagement if it happens</w:t>
            </w:r>
            <w:r w:rsidR="005049E7">
              <w:rPr>
                <w:lang w:eastAsia="en-GB"/>
              </w:rPr>
              <w:t>,</w:t>
            </w:r>
            <w:r w:rsidR="3F21BAAF" w:rsidRPr="61642BD2">
              <w:rPr>
                <w:lang w:eastAsia="en-GB"/>
              </w:rPr>
              <w:t xml:space="preserve"> or after the committee meeting when draft guidance is </w:t>
            </w:r>
            <w:proofErr w:type="gramStart"/>
            <w:r w:rsidR="3F21BAAF" w:rsidRPr="61642BD2">
              <w:rPr>
                <w:lang w:eastAsia="en-GB"/>
              </w:rPr>
              <w:t>produced</w:t>
            </w:r>
            <w:proofErr w:type="gramEnd"/>
          </w:p>
          <w:p w14:paraId="0A04583A" w14:textId="77777777" w:rsidR="00FD1E98" w:rsidRDefault="00FD1E98" w:rsidP="003822A1">
            <w:pPr>
              <w:pStyle w:val="Tabletext"/>
              <w:rPr>
                <w:lang w:eastAsia="en-GB"/>
              </w:rPr>
            </w:pPr>
          </w:p>
          <w:p w14:paraId="5CA752B5" w14:textId="19C631EA" w:rsidR="00FD1E98" w:rsidRDefault="00FD1E98" w:rsidP="003822A1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>If there is no technical engagement</w:t>
            </w:r>
            <w:r w:rsidR="03E4B7D0" w:rsidRPr="61642BD2">
              <w:rPr>
                <w:lang w:eastAsia="en-GB"/>
              </w:rPr>
              <w:t xml:space="preserve">, stakeholders will see </w:t>
            </w:r>
            <w:r w:rsidR="1F672814" w:rsidRPr="61642BD2">
              <w:rPr>
                <w:lang w:eastAsia="en-GB"/>
              </w:rPr>
              <w:t>Committee papers</w:t>
            </w:r>
            <w:r w:rsidRPr="61642BD2">
              <w:rPr>
                <w:lang w:eastAsia="en-GB"/>
              </w:rPr>
              <w:t xml:space="preserve">: </w:t>
            </w:r>
          </w:p>
          <w:p w14:paraId="47507EBE" w14:textId="69B3B4DE" w:rsidR="00FD1E98" w:rsidRDefault="3597F017" w:rsidP="003822A1">
            <w:pPr>
              <w:pStyle w:val="Tablebullet"/>
              <w:rPr>
                <w:lang w:eastAsia="en-GB"/>
              </w:rPr>
            </w:pPr>
            <w:r w:rsidRPr="64417CD4">
              <w:rPr>
                <w:lang w:eastAsia="en-GB"/>
              </w:rPr>
              <w:lastRenderedPageBreak/>
              <w:t>from 2</w:t>
            </w:r>
            <w:r w:rsidR="00775C19">
              <w:rPr>
                <w:lang w:eastAsia="en-GB"/>
              </w:rPr>
              <w:t> </w:t>
            </w:r>
            <w:r w:rsidR="1062CF0E" w:rsidRPr="64417CD4">
              <w:rPr>
                <w:lang w:eastAsia="en-GB"/>
              </w:rPr>
              <w:t xml:space="preserve">weeks after the committee meeting when draft guidance is </w:t>
            </w:r>
            <w:r w:rsidR="3D2AF124" w:rsidRPr="64417CD4">
              <w:rPr>
                <w:lang w:eastAsia="en-GB"/>
              </w:rPr>
              <w:t>p</w:t>
            </w:r>
            <w:r w:rsidR="003822A1">
              <w:rPr>
                <w:lang w:eastAsia="en-GB"/>
              </w:rPr>
              <w:t>roduced</w:t>
            </w:r>
            <w:r w:rsidR="00FD1E98">
              <w:rPr>
                <w:lang w:eastAsia="en-GB"/>
              </w:rPr>
              <w:t>, or</w:t>
            </w:r>
          </w:p>
          <w:p w14:paraId="41B28938" w14:textId="20660096" w:rsidR="00471D7C" w:rsidRDefault="00FD1E98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about</w:t>
            </w:r>
            <w:r w:rsidR="00F24AEE" w:rsidRPr="61642BD2">
              <w:rPr>
                <w:lang w:eastAsia="en-GB"/>
              </w:rPr>
              <w:t xml:space="preserve"> 4 to 5</w:t>
            </w:r>
            <w:r w:rsidR="03E4B7D0" w:rsidRPr="61642BD2">
              <w:rPr>
                <w:lang w:eastAsia="en-GB"/>
              </w:rPr>
              <w:t> </w:t>
            </w:r>
            <w:r w:rsidR="00F24AEE" w:rsidRPr="61642BD2">
              <w:rPr>
                <w:lang w:eastAsia="en-GB"/>
              </w:rPr>
              <w:t>weeks after the committee meeting if final draft guidance is produced.</w:t>
            </w:r>
          </w:p>
          <w:p w14:paraId="5C074397" w14:textId="3A10EAC2" w:rsidR="00F918AE" w:rsidRDefault="00F918AE" w:rsidP="00FF1197">
            <w:pPr>
              <w:pStyle w:val="Tabletext"/>
              <w:rPr>
                <w:lang w:eastAsia="en-GB"/>
              </w:rPr>
            </w:pPr>
          </w:p>
        </w:tc>
      </w:tr>
      <w:tr w:rsidR="006775D3" w14:paraId="4370EAEA" w14:textId="77777777" w:rsidTr="005213B5">
        <w:tc>
          <w:tcPr>
            <w:tcW w:w="6243" w:type="dxa"/>
          </w:tcPr>
          <w:p w14:paraId="5862538A" w14:textId="31C52453" w:rsidR="006775D3" w:rsidRDefault="003822A1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Committee papers</w:t>
            </w:r>
            <w:r w:rsidRPr="6E7860D2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(</w:t>
            </w:r>
            <w:r w:rsidRPr="6E7860D2">
              <w:rPr>
                <w:lang w:eastAsia="en-GB"/>
              </w:rPr>
              <w:t>as above</w:t>
            </w:r>
            <w:r>
              <w:rPr>
                <w:lang w:eastAsia="en-GB"/>
              </w:rPr>
              <w:t>)</w:t>
            </w:r>
          </w:p>
        </w:tc>
        <w:tc>
          <w:tcPr>
            <w:tcW w:w="1974" w:type="dxa"/>
          </w:tcPr>
          <w:p w14:paraId="4F2BB783" w14:textId="6CD95AAB" w:rsidR="00F918AE" w:rsidRDefault="003822A1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Public</w:t>
            </w:r>
            <w:r w:rsidR="3B6CA302" w:rsidRPr="6E7860D2">
              <w:rPr>
                <w:lang w:eastAsia="en-GB"/>
              </w:rPr>
              <w:t xml:space="preserve"> </w:t>
            </w:r>
          </w:p>
        </w:tc>
        <w:tc>
          <w:tcPr>
            <w:tcW w:w="5953" w:type="dxa"/>
          </w:tcPr>
          <w:p w14:paraId="5B2C0962" w14:textId="043146D9" w:rsidR="006775D3" w:rsidRDefault="00960029" w:rsidP="00FF1197">
            <w:pPr>
              <w:pStyle w:val="Tabletext"/>
              <w:rPr>
                <w:lang w:eastAsia="en-GB"/>
              </w:rPr>
            </w:pPr>
            <w:r w:rsidRPr="64417CD4">
              <w:rPr>
                <w:lang w:eastAsia="en-GB"/>
              </w:rPr>
              <w:t>Published on</w:t>
            </w:r>
            <w:r w:rsidR="00775C19">
              <w:rPr>
                <w:lang w:eastAsia="en-GB"/>
              </w:rPr>
              <w:t xml:space="preserve"> NICE</w:t>
            </w:r>
            <w:r w:rsidRPr="64417CD4">
              <w:rPr>
                <w:lang w:eastAsia="en-GB"/>
              </w:rPr>
              <w:t xml:space="preserve"> website </w:t>
            </w:r>
            <w:r w:rsidR="43918788" w:rsidRPr="64417CD4">
              <w:rPr>
                <w:lang w:eastAsia="en-GB"/>
              </w:rPr>
              <w:t>1</w:t>
            </w:r>
            <w:r w:rsidR="003822A1">
              <w:rPr>
                <w:lang w:eastAsia="en-GB"/>
              </w:rPr>
              <w:t> </w:t>
            </w:r>
            <w:r w:rsidRPr="64417CD4">
              <w:rPr>
                <w:lang w:eastAsia="en-GB"/>
              </w:rPr>
              <w:t>week after release to stakeholders</w:t>
            </w:r>
            <w:r w:rsidR="009C3A99">
              <w:rPr>
                <w:lang w:eastAsia="en-GB"/>
              </w:rPr>
              <w:t>.</w:t>
            </w:r>
          </w:p>
        </w:tc>
      </w:tr>
    </w:tbl>
    <w:p w14:paraId="737AC3F6" w14:textId="77777777" w:rsidR="006775D3" w:rsidRDefault="006775D3" w:rsidP="00B2625D">
      <w:pPr>
        <w:pStyle w:val="Paragraph"/>
        <w:rPr>
          <w:lang w:eastAsia="en-GB"/>
        </w:rPr>
      </w:pPr>
    </w:p>
    <w:p w14:paraId="015B1599" w14:textId="5E757E0C" w:rsidR="006435EB" w:rsidRDefault="006435EB" w:rsidP="005938C8">
      <w:pPr>
        <w:pStyle w:val="Numberedheading1"/>
        <w:rPr>
          <w:lang w:eastAsia="en-GB"/>
        </w:rPr>
      </w:pPr>
      <w:bookmarkStart w:id="6" w:name="_Toc132121904"/>
      <w:bookmarkStart w:id="7" w:name="_Toc132202187"/>
      <w:r w:rsidRPr="61642BD2">
        <w:rPr>
          <w:lang w:eastAsia="en-GB"/>
        </w:rPr>
        <w:t>What is redactable and non-redactable</w:t>
      </w:r>
      <w:bookmarkEnd w:id="6"/>
      <w:bookmarkEnd w:id="7"/>
      <w:r w:rsidR="00C12EE0" w:rsidRPr="61642BD2">
        <w:rPr>
          <w:lang w:eastAsia="en-GB"/>
        </w:rPr>
        <w:t>?</w:t>
      </w:r>
    </w:p>
    <w:p w14:paraId="2BFBB402" w14:textId="1536F4C3" w:rsidR="5B22B6C1" w:rsidRDefault="006435EB" w:rsidP="00FF1197">
      <w:pPr>
        <w:pStyle w:val="Caption"/>
        <w:rPr>
          <w:lang w:eastAsia="en-GB"/>
        </w:rPr>
      </w:pPr>
      <w:r w:rsidRPr="61642BD2">
        <w:rPr>
          <w:lang w:eastAsia="en-GB"/>
        </w:rPr>
        <w:t xml:space="preserve">Table </w:t>
      </w:r>
      <w:r w:rsidR="009C3A99" w:rsidRPr="61642BD2">
        <w:rPr>
          <w:lang w:eastAsia="en-GB"/>
        </w:rPr>
        <w:t>2.1</w:t>
      </w:r>
      <w:r w:rsidRPr="61642BD2">
        <w:rPr>
          <w:lang w:eastAsia="en-GB"/>
        </w:rPr>
        <w:t xml:space="preserve"> Which c</w:t>
      </w:r>
      <w:r w:rsidR="00B835D1" w:rsidRPr="61642BD2">
        <w:rPr>
          <w:lang w:eastAsia="en-GB"/>
        </w:rPr>
        <w:t>ategories of data and other information in the submission are redactable and non-</w:t>
      </w:r>
      <w:proofErr w:type="gramStart"/>
      <w:r w:rsidR="00B835D1" w:rsidRPr="61642BD2">
        <w:rPr>
          <w:lang w:eastAsia="en-GB"/>
        </w:rPr>
        <w:t>redactable</w:t>
      </w:r>
      <w:proofErr w:type="gramEnd"/>
    </w:p>
    <w:tbl>
      <w:tblPr>
        <w:tblStyle w:val="TableGridLight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  <w:tblCaption w:val="Table 2.1 Which cCategories of data and other information in the submission, which are redactable and non-redactable"/>
        <w:tblDescription w:val="This table shows which categories of information in the submission are redactable and non-redactable and provides a rationale for each category to explain why it is redactable or non-redactable."/>
      </w:tblPr>
      <w:tblGrid>
        <w:gridCol w:w="5240"/>
        <w:gridCol w:w="2977"/>
        <w:gridCol w:w="5953"/>
      </w:tblGrid>
      <w:tr w:rsidR="004F04AE" w14:paraId="02FF68B3" w14:textId="77777777" w:rsidTr="32373F45">
        <w:tc>
          <w:tcPr>
            <w:tcW w:w="5240" w:type="dxa"/>
          </w:tcPr>
          <w:p w14:paraId="2E9B639A" w14:textId="5F1A1781" w:rsidR="004F04AE" w:rsidRDefault="02D0618F" w:rsidP="00FF1197">
            <w:pPr>
              <w:pStyle w:val="Tableheading"/>
              <w:rPr>
                <w:lang w:eastAsia="en-GB"/>
              </w:rPr>
            </w:pPr>
            <w:r w:rsidRPr="6177D4D0">
              <w:rPr>
                <w:lang w:eastAsia="en-GB"/>
              </w:rPr>
              <w:t>C</w:t>
            </w:r>
            <w:r w:rsidR="2F8A07AF" w:rsidRPr="6177D4D0">
              <w:rPr>
                <w:lang w:eastAsia="en-GB"/>
              </w:rPr>
              <w:t>ategory</w:t>
            </w:r>
          </w:p>
        </w:tc>
        <w:tc>
          <w:tcPr>
            <w:tcW w:w="2977" w:type="dxa"/>
          </w:tcPr>
          <w:p w14:paraId="1A48D248" w14:textId="7873358B" w:rsidR="004F04AE" w:rsidRDefault="1B774DAB" w:rsidP="00FF1197">
            <w:pPr>
              <w:pStyle w:val="Tableheading"/>
              <w:rPr>
                <w:lang w:eastAsia="en-GB"/>
              </w:rPr>
            </w:pPr>
            <w:r w:rsidRPr="6177D4D0">
              <w:rPr>
                <w:lang w:eastAsia="en-GB"/>
              </w:rPr>
              <w:t>R</w:t>
            </w:r>
            <w:r w:rsidR="2F8A07AF" w:rsidRPr="6177D4D0">
              <w:rPr>
                <w:lang w:eastAsia="en-GB"/>
              </w:rPr>
              <w:t>edactable</w:t>
            </w:r>
          </w:p>
        </w:tc>
        <w:tc>
          <w:tcPr>
            <w:tcW w:w="5953" w:type="dxa"/>
          </w:tcPr>
          <w:p w14:paraId="76B7C4A2" w14:textId="348C8991" w:rsidR="004F04AE" w:rsidRDefault="004F04AE" w:rsidP="00FF1197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>Rationale</w:t>
            </w:r>
          </w:p>
        </w:tc>
      </w:tr>
      <w:tr w:rsidR="00B659B5" w14:paraId="33B0B30A" w14:textId="77777777" w:rsidTr="32373F45">
        <w:tc>
          <w:tcPr>
            <w:tcW w:w="5240" w:type="dxa"/>
          </w:tcPr>
          <w:p w14:paraId="3E9A5FB5" w14:textId="71041512" w:rsidR="00B659B5" w:rsidRDefault="00B659B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Methods used to conduct a study or to analyse data from a study</w:t>
            </w:r>
          </w:p>
        </w:tc>
        <w:tc>
          <w:tcPr>
            <w:tcW w:w="2977" w:type="dxa"/>
          </w:tcPr>
          <w:p w14:paraId="43566B96" w14:textId="2DD09F6D" w:rsidR="00B659B5" w:rsidRDefault="00B659B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5953" w:type="dxa"/>
          </w:tcPr>
          <w:p w14:paraId="656A223F" w14:textId="7901B42C" w:rsidR="00B659B5" w:rsidRDefault="00B659B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Methods information is required to understand how </w:t>
            </w:r>
            <w:r w:rsidR="003217DC">
              <w:rPr>
                <w:lang w:eastAsia="en-GB"/>
              </w:rPr>
              <w:t xml:space="preserve">model </w:t>
            </w:r>
            <w:r>
              <w:rPr>
                <w:lang w:eastAsia="en-GB"/>
              </w:rPr>
              <w:t>inputs</w:t>
            </w:r>
            <w:r w:rsidR="003217DC">
              <w:rPr>
                <w:lang w:eastAsia="en-GB"/>
              </w:rPr>
              <w:t xml:space="preserve"> are derived</w:t>
            </w:r>
            <w:r w:rsidR="00817760">
              <w:rPr>
                <w:lang w:eastAsia="en-GB"/>
              </w:rPr>
              <w:t>.</w:t>
            </w:r>
          </w:p>
        </w:tc>
      </w:tr>
      <w:tr w:rsidR="00B659B5" w14:paraId="37436408" w14:textId="77777777" w:rsidTr="32373F45">
        <w:tc>
          <w:tcPr>
            <w:tcW w:w="5240" w:type="dxa"/>
          </w:tcPr>
          <w:p w14:paraId="10DF6C57" w14:textId="7858A897" w:rsidR="00B659B5" w:rsidRDefault="00B659B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Clinical data that </w:t>
            </w:r>
            <w:r w:rsidR="006435EB">
              <w:rPr>
                <w:lang w:eastAsia="en-GB"/>
              </w:rPr>
              <w:t xml:space="preserve">is </w:t>
            </w:r>
            <w:r>
              <w:rPr>
                <w:lang w:eastAsia="en-GB"/>
              </w:rPr>
              <w:t>available in the public domain</w:t>
            </w:r>
          </w:p>
        </w:tc>
        <w:tc>
          <w:tcPr>
            <w:tcW w:w="2977" w:type="dxa"/>
          </w:tcPr>
          <w:p w14:paraId="664BF482" w14:textId="11234CA2" w:rsidR="00B659B5" w:rsidRDefault="00B659B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5953" w:type="dxa"/>
          </w:tcPr>
          <w:p w14:paraId="0AF01431" w14:textId="5169F764" w:rsidR="00B659B5" w:rsidRDefault="00B659B5" w:rsidP="00FF1197">
            <w:pPr>
              <w:pStyle w:val="Tabletext"/>
              <w:rPr>
                <w:lang w:eastAsia="en-GB"/>
              </w:rPr>
            </w:pPr>
            <w:r w:rsidRPr="2A42DE1B">
              <w:rPr>
                <w:lang w:eastAsia="en-GB"/>
              </w:rPr>
              <w:t>Information that is publicly available is not considered confidential</w:t>
            </w:r>
            <w:r w:rsidR="00817760">
              <w:rPr>
                <w:lang w:eastAsia="en-GB"/>
              </w:rPr>
              <w:t>.</w:t>
            </w:r>
            <w:r w:rsidRPr="2A42DE1B">
              <w:rPr>
                <w:lang w:eastAsia="en-GB"/>
              </w:rPr>
              <w:t xml:space="preserve"> </w:t>
            </w:r>
          </w:p>
        </w:tc>
      </w:tr>
      <w:tr w:rsidR="004F04AE" w14:paraId="4847626D" w14:textId="77777777" w:rsidTr="32373F45">
        <w:tc>
          <w:tcPr>
            <w:tcW w:w="5240" w:type="dxa"/>
          </w:tcPr>
          <w:p w14:paraId="073B2870" w14:textId="65830597" w:rsidR="004F04AE" w:rsidRDefault="4FB49017" w:rsidP="61642BD2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lastRenderedPageBreak/>
              <w:t>Clinical d</w:t>
            </w:r>
            <w:r w:rsidR="5CFFF264" w:rsidRPr="61642BD2">
              <w:rPr>
                <w:lang w:eastAsia="en-GB"/>
              </w:rPr>
              <w:t>ata</w:t>
            </w:r>
            <w:r w:rsidR="77E864D9" w:rsidRPr="61642BD2">
              <w:rPr>
                <w:lang w:eastAsia="en-GB"/>
              </w:rPr>
              <w:t xml:space="preserve"> not yet in the public domain but either:</w:t>
            </w:r>
          </w:p>
          <w:p w14:paraId="42CB04CB" w14:textId="7C489B31" w:rsidR="004F04AE" w:rsidRDefault="5CFFF264" w:rsidP="005049E7">
            <w:pPr>
              <w:pStyle w:val="Tabletext"/>
              <w:numPr>
                <w:ilvl w:val="0"/>
                <w:numId w:val="1"/>
              </w:numPr>
              <w:rPr>
                <w:lang w:eastAsia="en-GB"/>
              </w:rPr>
            </w:pPr>
            <w:r w:rsidRPr="61642BD2">
              <w:rPr>
                <w:lang w:eastAsia="en-GB"/>
              </w:rPr>
              <w:t xml:space="preserve"> awaiting publication</w:t>
            </w:r>
            <w:r w:rsidR="354378C3" w:rsidRPr="61642BD2">
              <w:rPr>
                <w:lang w:eastAsia="en-GB"/>
              </w:rPr>
              <w:t xml:space="preserve">, including in a journal or </w:t>
            </w:r>
          </w:p>
          <w:p w14:paraId="1B605998" w14:textId="74CB0B99" w:rsidR="004F04AE" w:rsidRDefault="17A9A347" w:rsidP="005049E7">
            <w:pPr>
              <w:pStyle w:val="Tabletext"/>
              <w:numPr>
                <w:ilvl w:val="0"/>
                <w:numId w:val="1"/>
              </w:numPr>
              <w:rPr>
                <w:lang w:eastAsia="en-GB"/>
              </w:rPr>
            </w:pPr>
            <w:r w:rsidRPr="61642BD2">
              <w:rPr>
                <w:lang w:eastAsia="en-GB"/>
              </w:rPr>
              <w:t>w</w:t>
            </w:r>
            <w:r w:rsidR="590C5C24" w:rsidRPr="61642BD2">
              <w:rPr>
                <w:lang w:eastAsia="en-GB"/>
              </w:rPr>
              <w:t>i</w:t>
            </w:r>
            <w:r w:rsidR="6FCCCCBE" w:rsidRPr="61642BD2">
              <w:rPr>
                <w:lang w:eastAsia="en-GB"/>
              </w:rPr>
              <w:t>ll be released into the public domain by regulatory authorities</w:t>
            </w:r>
            <w:r w:rsidR="590C5C24" w:rsidRPr="61642BD2">
              <w:rPr>
                <w:lang w:eastAsia="en-GB"/>
              </w:rPr>
              <w:t xml:space="preserve"> </w:t>
            </w:r>
            <w:r w:rsidR="03F79EFF" w:rsidRPr="61642BD2">
              <w:rPr>
                <w:lang w:eastAsia="en-GB"/>
              </w:rPr>
              <w:t xml:space="preserve"> </w:t>
            </w:r>
          </w:p>
        </w:tc>
        <w:tc>
          <w:tcPr>
            <w:tcW w:w="2977" w:type="dxa"/>
          </w:tcPr>
          <w:p w14:paraId="5A59E965" w14:textId="403D534B" w:rsidR="004F04AE" w:rsidRDefault="004F04AE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5953" w:type="dxa"/>
          </w:tcPr>
          <w:p w14:paraId="7080DC2D" w14:textId="32537F10" w:rsidR="00F97B6A" w:rsidRDefault="2A075A44" w:rsidP="006435EB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To avoid redaction of data </w:t>
            </w:r>
            <w:r w:rsidR="009C3A99">
              <w:rPr>
                <w:lang w:eastAsia="en-GB"/>
              </w:rPr>
              <w:t xml:space="preserve">that </w:t>
            </w:r>
            <w:r>
              <w:rPr>
                <w:lang w:eastAsia="en-GB"/>
              </w:rPr>
              <w:t>will subsequently be available and whe</w:t>
            </w:r>
            <w:r w:rsidR="006435EB">
              <w:rPr>
                <w:lang w:eastAsia="en-GB"/>
              </w:rPr>
              <w:t>n</w:t>
            </w:r>
            <w:r>
              <w:rPr>
                <w:lang w:eastAsia="en-GB"/>
              </w:rPr>
              <w:t xml:space="preserve"> publishing in committee papers will not jeopardise publication elsewhere.</w:t>
            </w:r>
            <w:r w:rsidR="3ED99FB5">
              <w:rPr>
                <w:lang w:eastAsia="en-GB"/>
              </w:rPr>
              <w:t xml:space="preserve"> </w:t>
            </w:r>
          </w:p>
          <w:p w14:paraId="2143AE41" w14:textId="77777777" w:rsidR="00F97B6A" w:rsidRDefault="00F97B6A" w:rsidP="006435EB">
            <w:pPr>
              <w:pStyle w:val="Tabletext"/>
            </w:pPr>
          </w:p>
          <w:p w14:paraId="6578FFDF" w14:textId="14E72052" w:rsidR="004F04AE" w:rsidRDefault="5242B0F6" w:rsidP="00FF1197">
            <w:pPr>
              <w:pStyle w:val="Tabletext"/>
              <w:rPr>
                <w:lang w:eastAsia="en-GB"/>
              </w:rPr>
            </w:pPr>
            <w:r>
              <w:t>T</w:t>
            </w:r>
            <w:r w:rsidR="38E06D1A">
              <w:t>he</w:t>
            </w:r>
            <w:r w:rsidR="736DA566">
              <w:t xml:space="preserve"> </w:t>
            </w:r>
            <w:r w:rsidR="00C12EE0">
              <w:t>International Committee of Medical Journal Editors (ICMJE) recommendations on overlapping publications</w:t>
            </w:r>
            <w:r w:rsidR="736DA566">
              <w:t xml:space="preserve"> state</w:t>
            </w:r>
            <w:r w:rsidR="38E06D1A">
              <w:t xml:space="preserve"> </w:t>
            </w:r>
            <w:r w:rsidR="3E246F5E">
              <w:t xml:space="preserve">that it ‘does not consider </w:t>
            </w:r>
            <w:r w:rsidR="38E06D1A">
              <w:t>re</w:t>
            </w:r>
            <w:r w:rsidR="38E06D1A" w:rsidRPr="00B86B73">
              <w:t>sults or data contained in assessment reports published by health technology assessmen</w:t>
            </w:r>
            <w:r w:rsidR="00B835D1">
              <w:t>t</w:t>
            </w:r>
            <w:r w:rsidR="38E06D1A" w:rsidRPr="00B86B73">
              <w:t xml:space="preserve"> agencies, medical regulators, medical device regulators, or other regulatory agencies to be duplicate publication</w:t>
            </w:r>
            <w:r>
              <w:t>’.</w:t>
            </w:r>
          </w:p>
          <w:p w14:paraId="465BBBFB" w14:textId="310E839C" w:rsidR="004F04AE" w:rsidRDefault="004F04AE" w:rsidP="00FF1197">
            <w:pPr>
              <w:pStyle w:val="Tabletext"/>
              <w:rPr>
                <w:lang w:eastAsia="en-GB"/>
              </w:rPr>
            </w:pPr>
          </w:p>
        </w:tc>
      </w:tr>
      <w:tr w:rsidR="004F04AE" w14:paraId="724581C1" w14:textId="77777777" w:rsidTr="32373F45">
        <w:tc>
          <w:tcPr>
            <w:tcW w:w="5240" w:type="dxa"/>
          </w:tcPr>
          <w:p w14:paraId="41919E43" w14:textId="1589031A" w:rsidR="004F04AE" w:rsidRDefault="15DFBCA4" w:rsidP="00FF1197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 xml:space="preserve">Clinical data </w:t>
            </w:r>
            <w:r w:rsidR="38E06D1A" w:rsidRPr="61642BD2">
              <w:rPr>
                <w:lang w:eastAsia="en-GB"/>
              </w:rPr>
              <w:t>that ha</w:t>
            </w:r>
            <w:r w:rsidR="4209BD89" w:rsidRPr="61642BD2">
              <w:rPr>
                <w:lang w:eastAsia="en-GB"/>
              </w:rPr>
              <w:t>s</w:t>
            </w:r>
            <w:r w:rsidR="38E06D1A" w:rsidRPr="61642BD2">
              <w:rPr>
                <w:lang w:eastAsia="en-GB"/>
              </w:rPr>
              <w:t xml:space="preserve"> not been made publicly available and for which there is no </w:t>
            </w:r>
            <w:r w:rsidR="1FE09FD7" w:rsidRPr="61642BD2">
              <w:rPr>
                <w:lang w:eastAsia="en-GB"/>
              </w:rPr>
              <w:t xml:space="preserve">plan for the data to become publicly </w:t>
            </w:r>
            <w:proofErr w:type="gramStart"/>
            <w:r w:rsidR="1FE09FD7" w:rsidRPr="61642BD2">
              <w:rPr>
                <w:lang w:eastAsia="en-GB"/>
              </w:rPr>
              <w:t>available</w:t>
            </w:r>
            <w:proofErr w:type="gramEnd"/>
          </w:p>
          <w:p w14:paraId="7597CC0E" w14:textId="7D4C2B89" w:rsidR="004F04AE" w:rsidRDefault="004F04AE" w:rsidP="00FF1197">
            <w:pPr>
              <w:pStyle w:val="Tabletext"/>
              <w:rPr>
                <w:lang w:eastAsia="en-GB"/>
              </w:rPr>
            </w:pPr>
          </w:p>
        </w:tc>
        <w:tc>
          <w:tcPr>
            <w:tcW w:w="2977" w:type="dxa"/>
          </w:tcPr>
          <w:p w14:paraId="5FA8595F" w14:textId="4448B445" w:rsidR="004F04AE" w:rsidRDefault="004F04AE" w:rsidP="006435EB">
            <w:pPr>
              <w:pStyle w:val="Tabletext"/>
              <w:rPr>
                <w:lang w:eastAsia="en-GB"/>
              </w:rPr>
            </w:pPr>
            <w:r w:rsidRPr="2A42DE1B">
              <w:rPr>
                <w:lang w:eastAsia="en-GB"/>
              </w:rPr>
              <w:t>Yes</w:t>
            </w:r>
            <w:r w:rsidR="00895995">
              <w:rPr>
                <w:lang w:eastAsia="en-GB"/>
              </w:rPr>
              <w:t>,</w:t>
            </w:r>
            <w:r w:rsidRPr="2A42DE1B">
              <w:rPr>
                <w:lang w:eastAsia="en-GB"/>
              </w:rPr>
              <w:t xml:space="preserve"> </w:t>
            </w:r>
            <w:r w:rsidR="3636001C" w:rsidRPr="2A42DE1B">
              <w:rPr>
                <w:lang w:eastAsia="en-GB"/>
              </w:rPr>
              <w:t>except for</w:t>
            </w:r>
            <w:r w:rsidRPr="2A42DE1B">
              <w:rPr>
                <w:lang w:eastAsia="en-GB"/>
              </w:rPr>
              <w:t xml:space="preserve"> minimum </w:t>
            </w:r>
            <w:r w:rsidR="00C12EE0">
              <w:rPr>
                <w:lang w:eastAsia="en-GB"/>
              </w:rPr>
              <w:t>reporting requirements</w:t>
            </w:r>
            <w:r w:rsidR="00895995">
              <w:rPr>
                <w:lang w:eastAsia="en-GB"/>
              </w:rPr>
              <w:t>.</w:t>
            </w:r>
          </w:p>
          <w:p w14:paraId="4D088B4B" w14:textId="77777777" w:rsidR="00895995" w:rsidRDefault="00895995" w:rsidP="00FF1197">
            <w:pPr>
              <w:pStyle w:val="Tabletext"/>
              <w:rPr>
                <w:lang w:eastAsia="en-GB"/>
              </w:rPr>
            </w:pPr>
          </w:p>
          <w:p w14:paraId="52015DDD" w14:textId="20496664" w:rsidR="00242A5A" w:rsidRDefault="7C6BA648" w:rsidP="32373F45">
            <w:pPr>
              <w:pStyle w:val="Tabletext"/>
              <w:rPr>
                <w:lang w:eastAsia="en-GB"/>
              </w:rPr>
            </w:pPr>
            <w:r w:rsidRPr="32373F45">
              <w:t>Data collected within NHS clinical practice as part of a managed access agreement cannot be considered confidential unless it meets other criteria</w:t>
            </w:r>
            <w:r w:rsidR="7E1F9EE7" w:rsidRPr="32373F45">
              <w:t xml:space="preserve">, for example it allows </w:t>
            </w:r>
            <w:r w:rsidRPr="32373F45">
              <w:t>for subject identification</w:t>
            </w:r>
            <w:r w:rsidR="289E7470" w:rsidRPr="32373F45">
              <w:t>.</w:t>
            </w:r>
          </w:p>
          <w:p w14:paraId="5B7C3AD5" w14:textId="04DA0824" w:rsidR="00242A5A" w:rsidRDefault="00242A5A" w:rsidP="00FF1197">
            <w:pPr>
              <w:pStyle w:val="Tabletext"/>
            </w:pPr>
          </w:p>
        </w:tc>
        <w:tc>
          <w:tcPr>
            <w:tcW w:w="5953" w:type="dxa"/>
          </w:tcPr>
          <w:p w14:paraId="29338779" w14:textId="77777777" w:rsidR="00E07A27" w:rsidRDefault="429246D4">
            <w:pPr>
              <w:pStyle w:val="Tabletext"/>
            </w:pPr>
            <w:r>
              <w:t>In recognition</w:t>
            </w:r>
            <w:r w:rsidR="2A075A44">
              <w:t xml:space="preserve"> that there will be unpublished clinical data that will be confidential. </w:t>
            </w:r>
          </w:p>
          <w:p w14:paraId="70CBDA04" w14:textId="77777777" w:rsidR="00772B50" w:rsidRDefault="00772B50" w:rsidP="00FF1197">
            <w:pPr>
              <w:pStyle w:val="Tabletext"/>
            </w:pPr>
          </w:p>
          <w:p w14:paraId="3568FA79" w14:textId="3F26CB64" w:rsidR="004F04AE" w:rsidRDefault="00E07A27">
            <w:pPr>
              <w:pStyle w:val="Tabletext"/>
            </w:pPr>
            <w:r>
              <w:t>However</w:t>
            </w:r>
            <w:r w:rsidR="00D74BF8">
              <w:t>,</w:t>
            </w:r>
            <w:r>
              <w:t xml:space="preserve"> </w:t>
            </w:r>
            <w:r w:rsidR="00895995">
              <w:t xml:space="preserve">to </w:t>
            </w:r>
            <w:r w:rsidR="00BD32F3">
              <w:t>allow</w:t>
            </w:r>
            <w:r w:rsidR="2A075A44">
              <w:t xml:space="preserve"> transparent </w:t>
            </w:r>
            <w:r>
              <w:t xml:space="preserve">reporting of </w:t>
            </w:r>
            <w:r w:rsidR="00D74BF8">
              <w:t>decision</w:t>
            </w:r>
            <w:r w:rsidR="2A075A44">
              <w:t xml:space="preserve"> making</w:t>
            </w:r>
            <w:r w:rsidR="00895995">
              <w:t>,</w:t>
            </w:r>
            <w:r w:rsidR="2A075A44">
              <w:t xml:space="preserve"> </w:t>
            </w:r>
            <w:r>
              <w:t>NICE has outlined minimum reporting requirements</w:t>
            </w:r>
            <w:r w:rsidR="00F755C2">
              <w:t xml:space="preserve"> for</w:t>
            </w:r>
            <w:r>
              <w:t xml:space="preserve"> </w:t>
            </w:r>
            <w:r w:rsidR="009D06A6">
              <w:t>data</w:t>
            </w:r>
            <w:r>
              <w:t xml:space="preserve"> which is likely to be fundamental to committee decision making</w:t>
            </w:r>
            <w:r w:rsidR="0021091B">
              <w:t xml:space="preserve"> (see table 3.1)</w:t>
            </w:r>
            <w:r>
              <w:t>.</w:t>
            </w:r>
            <w:r w:rsidR="00F755C2">
              <w:t xml:space="preserve"> </w:t>
            </w:r>
          </w:p>
          <w:p w14:paraId="22211571" w14:textId="77777777" w:rsidR="00772B50" w:rsidRDefault="00772B50" w:rsidP="00FF1197">
            <w:pPr>
              <w:pStyle w:val="Tabletext"/>
            </w:pPr>
          </w:p>
          <w:p w14:paraId="0EACA31C" w14:textId="4E559371" w:rsidR="00895995" w:rsidRDefault="00895995" w:rsidP="006435EB">
            <w:pPr>
              <w:pStyle w:val="Tabletext"/>
            </w:pPr>
            <w:r>
              <w:t>Clinical data should be treated as clinical data without a publication plan i</w:t>
            </w:r>
            <w:r w:rsidR="00817760">
              <w:t>f</w:t>
            </w:r>
            <w:r>
              <w:t>:</w:t>
            </w:r>
          </w:p>
          <w:p w14:paraId="2DA86E2A" w14:textId="092C9EF8" w:rsidR="00895995" w:rsidRDefault="00817760" w:rsidP="00895995">
            <w:pPr>
              <w:pStyle w:val="Tablebullet"/>
            </w:pPr>
            <w:r>
              <w:t xml:space="preserve">there </w:t>
            </w:r>
            <w:r w:rsidR="00895995">
              <w:t xml:space="preserve">is </w:t>
            </w:r>
            <w:r>
              <w:t xml:space="preserve">clinical data awaiting first public presentation at a congress </w:t>
            </w:r>
            <w:r w:rsidR="00895995">
              <w:t xml:space="preserve">that </w:t>
            </w:r>
            <w:r>
              <w:t xml:space="preserve">is scheduled </w:t>
            </w:r>
            <w:r w:rsidR="00895995">
              <w:t xml:space="preserve">to take place </w:t>
            </w:r>
            <w:r>
              <w:t>after documentation from NICE would be released to the public</w:t>
            </w:r>
            <w:r w:rsidR="00895995">
              <w:t>,</w:t>
            </w:r>
            <w:r>
              <w:t xml:space="preserve"> and </w:t>
            </w:r>
          </w:p>
          <w:p w14:paraId="175DCACD" w14:textId="4854371E" w:rsidR="00817760" w:rsidRDefault="00817760" w:rsidP="00FF1197">
            <w:pPr>
              <w:pStyle w:val="Tablebullet"/>
            </w:pPr>
            <w:r>
              <w:t>this data is not awaiting publication in a journal or</w:t>
            </w:r>
            <w:r w:rsidR="00C12EE0">
              <w:t xml:space="preserve"> within</w:t>
            </w:r>
            <w:r>
              <w:t xml:space="preserve"> </w:t>
            </w:r>
            <w:r w:rsidR="00C12EE0">
              <w:t>marketing authorisation</w:t>
            </w:r>
            <w:r>
              <w:t xml:space="preserve"> documentation.</w:t>
            </w:r>
          </w:p>
          <w:p w14:paraId="47E9E00F" w14:textId="71070573" w:rsidR="00817760" w:rsidRDefault="00817760" w:rsidP="00FF1197">
            <w:pPr>
              <w:pStyle w:val="Tabletext"/>
              <w:rPr>
                <w:lang w:eastAsia="en-GB"/>
              </w:rPr>
            </w:pPr>
          </w:p>
        </w:tc>
      </w:tr>
      <w:tr w:rsidR="004F04AE" w14:paraId="786174A4" w14:textId="77777777" w:rsidTr="32373F45">
        <w:tc>
          <w:tcPr>
            <w:tcW w:w="5240" w:type="dxa"/>
          </w:tcPr>
          <w:p w14:paraId="6F8FAEF0" w14:textId="7FF4DAE2" w:rsidR="004F04AE" w:rsidRDefault="2554E5EF" w:rsidP="00FF1197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lastRenderedPageBreak/>
              <w:t>Data from real-world evidence studies that has not been made publicly available and for which there is no plan for the data to become publicly available</w:t>
            </w:r>
            <w:r w:rsidR="57B0D07A" w:rsidRPr="61642BD2">
              <w:rPr>
                <w:lang w:eastAsia="en-GB"/>
              </w:rPr>
              <w:t>.</w:t>
            </w:r>
          </w:p>
        </w:tc>
        <w:tc>
          <w:tcPr>
            <w:tcW w:w="2977" w:type="dxa"/>
          </w:tcPr>
          <w:p w14:paraId="19C83DC1" w14:textId="04D8716C" w:rsidR="004F04AE" w:rsidRDefault="003471D8" w:rsidP="00FF1197">
            <w:pPr>
              <w:pStyle w:val="Tabletext"/>
              <w:rPr>
                <w:lang w:eastAsia="en-GB"/>
              </w:rPr>
            </w:pPr>
            <w:r w:rsidRPr="2A42DE1B">
              <w:rPr>
                <w:lang w:eastAsia="en-GB"/>
              </w:rPr>
              <w:t>Yes</w:t>
            </w:r>
            <w:r w:rsidR="00B659B5" w:rsidRPr="2A42DE1B">
              <w:rPr>
                <w:lang w:eastAsia="en-GB"/>
              </w:rPr>
              <w:t xml:space="preserve"> (</w:t>
            </w:r>
            <w:r w:rsidRPr="2A42DE1B">
              <w:rPr>
                <w:lang w:eastAsia="en-GB"/>
              </w:rPr>
              <w:t xml:space="preserve">if collected by company </w:t>
            </w:r>
            <w:r w:rsidR="52D1B561" w:rsidRPr="2A42DE1B">
              <w:rPr>
                <w:lang w:eastAsia="en-GB"/>
              </w:rPr>
              <w:t xml:space="preserve">then </w:t>
            </w:r>
            <w:r w:rsidRPr="2A42DE1B">
              <w:rPr>
                <w:lang w:eastAsia="en-GB"/>
              </w:rPr>
              <w:t xml:space="preserve">minimum summary </w:t>
            </w:r>
            <w:r w:rsidR="00242A5A">
              <w:rPr>
                <w:lang w:eastAsia="en-GB"/>
              </w:rPr>
              <w:t>information</w:t>
            </w:r>
            <w:r w:rsidRPr="2A42DE1B">
              <w:rPr>
                <w:lang w:eastAsia="en-GB"/>
              </w:rPr>
              <w:t xml:space="preserve"> </w:t>
            </w:r>
            <w:r w:rsidR="00B659B5" w:rsidRPr="2A42DE1B">
              <w:rPr>
                <w:lang w:eastAsia="en-GB"/>
              </w:rPr>
              <w:t>should be provided)</w:t>
            </w:r>
            <w:r w:rsidRPr="2A42DE1B">
              <w:rPr>
                <w:lang w:eastAsia="en-GB"/>
              </w:rPr>
              <w:t>.</w:t>
            </w:r>
          </w:p>
          <w:p w14:paraId="763727B1" w14:textId="25D41FC5" w:rsidR="003471D8" w:rsidRDefault="003471D8" w:rsidP="00FF1197">
            <w:pPr>
              <w:pStyle w:val="Tabletext"/>
              <w:rPr>
                <w:lang w:eastAsia="en-GB"/>
              </w:rPr>
            </w:pPr>
            <w:r w:rsidRPr="32373F45">
              <w:rPr>
                <w:lang w:eastAsia="en-GB"/>
              </w:rPr>
              <w:t xml:space="preserve">The confidentiality requirements of </w:t>
            </w:r>
            <w:r w:rsidR="00BD32F3" w:rsidRPr="32373F45">
              <w:rPr>
                <w:lang w:eastAsia="en-GB"/>
              </w:rPr>
              <w:t>third</w:t>
            </w:r>
            <w:r w:rsidR="73033DAE" w:rsidRPr="32373F45">
              <w:rPr>
                <w:lang w:eastAsia="en-GB"/>
              </w:rPr>
              <w:t>-</w:t>
            </w:r>
            <w:r w:rsidRPr="32373F45">
              <w:rPr>
                <w:lang w:eastAsia="en-GB"/>
              </w:rPr>
              <w:t>party sources of data will be adhered to</w:t>
            </w:r>
            <w:r w:rsidR="00E07A27" w:rsidRPr="32373F45">
              <w:rPr>
                <w:lang w:eastAsia="en-GB"/>
              </w:rPr>
              <w:t>.</w:t>
            </w:r>
          </w:p>
        </w:tc>
        <w:tc>
          <w:tcPr>
            <w:tcW w:w="5953" w:type="dxa"/>
          </w:tcPr>
          <w:p w14:paraId="7658CBCD" w14:textId="6DC2FAF7" w:rsidR="00772B50" w:rsidRDefault="00C12EE0" w:rsidP="00772B50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See the</w:t>
            </w:r>
            <w:r w:rsidR="000F32DA">
              <w:rPr>
                <w:lang w:eastAsia="en-GB"/>
              </w:rPr>
              <w:t xml:space="preserve"> above</w:t>
            </w:r>
            <w:r w:rsidR="00CF3E26">
              <w:rPr>
                <w:lang w:eastAsia="en-GB"/>
              </w:rPr>
              <w:t xml:space="preserve"> rationale for c</w:t>
            </w:r>
            <w:r w:rsidR="00CF3E26" w:rsidRPr="6E7860D2">
              <w:rPr>
                <w:lang w:eastAsia="en-GB"/>
              </w:rPr>
              <w:t>linical data that ha</w:t>
            </w:r>
            <w:r w:rsidR="00CF3E26">
              <w:rPr>
                <w:lang w:eastAsia="en-GB"/>
              </w:rPr>
              <w:t>s</w:t>
            </w:r>
            <w:r w:rsidR="00CF3E26" w:rsidRPr="6E7860D2">
              <w:rPr>
                <w:lang w:eastAsia="en-GB"/>
              </w:rPr>
              <w:t xml:space="preserve"> not been made publicly available and for which there is no publication plan</w:t>
            </w:r>
            <w:r w:rsidR="00CF3E26">
              <w:rPr>
                <w:lang w:eastAsia="en-GB"/>
              </w:rPr>
              <w:t>.</w:t>
            </w:r>
          </w:p>
          <w:p w14:paraId="3CFAB0E7" w14:textId="478F7042" w:rsidR="004F04AE" w:rsidRDefault="004F04AE" w:rsidP="00FF1197">
            <w:pPr>
              <w:pStyle w:val="Tabletext"/>
              <w:rPr>
                <w:lang w:eastAsia="en-GB"/>
              </w:rPr>
            </w:pPr>
          </w:p>
        </w:tc>
      </w:tr>
      <w:tr w:rsidR="004F04AE" w14:paraId="72769954" w14:textId="77777777" w:rsidTr="32373F45">
        <w:tc>
          <w:tcPr>
            <w:tcW w:w="5240" w:type="dxa"/>
          </w:tcPr>
          <w:p w14:paraId="4DC4B8E7" w14:textId="36A73B48" w:rsidR="004F04AE" w:rsidRDefault="4FB49017" w:rsidP="00FF1197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 xml:space="preserve">Company’s </w:t>
            </w:r>
            <w:r w:rsidR="75322F3C" w:rsidRPr="61642BD2">
              <w:rPr>
                <w:lang w:eastAsia="en-GB"/>
              </w:rPr>
              <w:t>i</w:t>
            </w:r>
            <w:r w:rsidR="048C9E81" w:rsidRPr="61642BD2">
              <w:rPr>
                <w:lang w:eastAsia="en-GB"/>
              </w:rPr>
              <w:t>ndirect comparison</w:t>
            </w:r>
            <w:r w:rsidR="7BAE99F0" w:rsidRPr="61642BD2">
              <w:rPr>
                <w:lang w:eastAsia="en-GB"/>
              </w:rPr>
              <w:t xml:space="preserve"> that has not been made publicly available and for which there is no plan for the data to become publicly available</w:t>
            </w:r>
          </w:p>
        </w:tc>
        <w:tc>
          <w:tcPr>
            <w:tcW w:w="2977" w:type="dxa"/>
          </w:tcPr>
          <w:p w14:paraId="0EF6638B" w14:textId="582E2573" w:rsidR="000F32DA" w:rsidRDefault="00E07A27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Y</w:t>
            </w:r>
            <w:r w:rsidR="000F32DA" w:rsidRPr="0EF8FE52">
              <w:rPr>
                <w:lang w:eastAsia="en-GB"/>
              </w:rPr>
              <w:t>es</w:t>
            </w:r>
            <w:r w:rsidR="00BD32F3">
              <w:rPr>
                <w:lang w:eastAsia="en-GB"/>
              </w:rPr>
              <w:t>,</w:t>
            </w:r>
            <w:r w:rsidR="000F32DA" w:rsidRPr="0EF8FE52">
              <w:rPr>
                <w:lang w:eastAsia="en-GB"/>
              </w:rPr>
              <w:t xml:space="preserve"> </w:t>
            </w:r>
            <w:r w:rsidR="66E757A3" w:rsidRPr="0EF8FE52">
              <w:rPr>
                <w:lang w:eastAsia="en-GB"/>
              </w:rPr>
              <w:t>except for</w:t>
            </w:r>
            <w:r w:rsidR="000F32DA" w:rsidRPr="0EF8FE52">
              <w:rPr>
                <w:lang w:eastAsia="en-GB"/>
              </w:rPr>
              <w:t xml:space="preserve"> minimum summary</w:t>
            </w:r>
            <w:r w:rsidR="7BD01C86" w:rsidRPr="0EF8FE52">
              <w:rPr>
                <w:lang w:eastAsia="en-GB"/>
              </w:rPr>
              <w:t xml:space="preserve"> information</w:t>
            </w:r>
            <w:r w:rsidR="00772B50">
              <w:rPr>
                <w:lang w:eastAsia="en-GB"/>
              </w:rPr>
              <w:t>.</w:t>
            </w:r>
          </w:p>
        </w:tc>
        <w:tc>
          <w:tcPr>
            <w:tcW w:w="5953" w:type="dxa"/>
          </w:tcPr>
          <w:p w14:paraId="55B747F1" w14:textId="4F7DD0DB" w:rsidR="00E07A27" w:rsidRDefault="000F32DA">
            <w:pPr>
              <w:pStyle w:val="Tabletext"/>
              <w:rPr>
                <w:lang w:eastAsia="en-GB"/>
              </w:rPr>
            </w:pPr>
            <w:r w:rsidRPr="0EF8FE52">
              <w:rPr>
                <w:lang w:eastAsia="en-GB"/>
              </w:rPr>
              <w:t xml:space="preserve">It is recognised that indirect </w:t>
            </w:r>
            <w:r w:rsidR="68F37360" w:rsidRPr="0EF8FE52">
              <w:rPr>
                <w:lang w:eastAsia="en-GB"/>
              </w:rPr>
              <w:t>comparisons</w:t>
            </w:r>
            <w:r w:rsidRPr="0EF8FE52">
              <w:rPr>
                <w:lang w:eastAsia="en-GB"/>
              </w:rPr>
              <w:t xml:space="preserve"> may be specific to the decision problem for NICE evaluations. </w:t>
            </w:r>
          </w:p>
          <w:p w14:paraId="7E0A7723" w14:textId="77777777" w:rsidR="00CF3E26" w:rsidRDefault="00CF3E26" w:rsidP="00FF1197">
            <w:pPr>
              <w:pStyle w:val="Tabletext"/>
              <w:rPr>
                <w:lang w:eastAsia="en-GB"/>
              </w:rPr>
            </w:pPr>
          </w:p>
          <w:p w14:paraId="1D557502" w14:textId="5CC9FC49" w:rsidR="004F04AE" w:rsidRDefault="00F755C2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Assess</w:t>
            </w:r>
            <w:r w:rsidR="00CF3E26">
              <w:rPr>
                <w:lang w:eastAsia="en-GB"/>
              </w:rPr>
              <w:t>ing</w:t>
            </w:r>
            <w:r>
              <w:rPr>
                <w:lang w:eastAsia="en-GB"/>
              </w:rPr>
              <w:t xml:space="preserve"> the benefit of a technology compared with its comparator</w:t>
            </w:r>
            <w:r w:rsidR="005C319A">
              <w:rPr>
                <w:lang w:eastAsia="en-GB"/>
              </w:rPr>
              <w:t xml:space="preserve">s and the uncertainty around </w:t>
            </w:r>
            <w:r w:rsidR="00CF3E26">
              <w:rPr>
                <w:lang w:eastAsia="en-GB"/>
              </w:rPr>
              <w:t>these comparisons</w:t>
            </w:r>
            <w:r>
              <w:rPr>
                <w:lang w:eastAsia="en-GB"/>
              </w:rPr>
              <w:t xml:space="preserve"> is fundamental to committee decision making</w:t>
            </w:r>
            <w:r w:rsidR="005C319A">
              <w:rPr>
                <w:lang w:eastAsia="en-GB"/>
              </w:rPr>
              <w:t>.</w:t>
            </w:r>
            <w:r>
              <w:rPr>
                <w:lang w:eastAsia="en-GB"/>
              </w:rPr>
              <w:t xml:space="preserve"> NICE has outlined the minimum reporting requirements</w:t>
            </w:r>
            <w:r w:rsidR="00BA3459">
              <w:rPr>
                <w:lang w:eastAsia="en-GB"/>
              </w:rPr>
              <w:t xml:space="preserve"> for</w:t>
            </w:r>
            <w:r>
              <w:rPr>
                <w:lang w:eastAsia="en-GB"/>
              </w:rPr>
              <w:t xml:space="preserve"> indirect comparisons</w:t>
            </w:r>
            <w:r w:rsidR="00CF3E26">
              <w:rPr>
                <w:lang w:eastAsia="en-GB"/>
              </w:rPr>
              <w:t xml:space="preserve"> outcomes</w:t>
            </w:r>
            <w:r>
              <w:rPr>
                <w:lang w:eastAsia="en-GB"/>
              </w:rPr>
              <w:t xml:space="preserve"> to </w:t>
            </w:r>
            <w:r w:rsidR="00BD32F3">
              <w:rPr>
                <w:lang w:eastAsia="en-GB"/>
              </w:rPr>
              <w:t xml:space="preserve">allow </w:t>
            </w:r>
            <w:r>
              <w:rPr>
                <w:lang w:eastAsia="en-GB"/>
              </w:rPr>
              <w:t>transparent reporting of committee decision making</w:t>
            </w:r>
            <w:r w:rsidR="00CF3E26">
              <w:rPr>
                <w:lang w:eastAsia="en-GB"/>
              </w:rPr>
              <w:t xml:space="preserve"> (see table 3.1)</w:t>
            </w:r>
            <w:r>
              <w:rPr>
                <w:lang w:eastAsia="en-GB"/>
              </w:rPr>
              <w:t>.</w:t>
            </w:r>
          </w:p>
        </w:tc>
      </w:tr>
      <w:tr w:rsidR="001413DF" w14:paraId="33A5668C" w14:textId="77777777" w:rsidTr="32373F45">
        <w:tc>
          <w:tcPr>
            <w:tcW w:w="5240" w:type="dxa"/>
          </w:tcPr>
          <w:p w14:paraId="5845B55A" w14:textId="5E1B11D4" w:rsidR="001413DF" w:rsidRDefault="001413DF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Critical appraisal of clinical studies and indirect comparisons</w:t>
            </w:r>
            <w:r w:rsidR="00432C5A">
              <w:rPr>
                <w:lang w:eastAsia="en-GB"/>
              </w:rPr>
              <w:t xml:space="preserve"> </w:t>
            </w:r>
            <w:r w:rsidR="00432C5A" w:rsidRPr="6E7860D2">
              <w:rPr>
                <w:lang w:eastAsia="en-GB"/>
              </w:rPr>
              <w:t>(for example</w:t>
            </w:r>
            <w:r w:rsidR="00432C5A">
              <w:rPr>
                <w:lang w:eastAsia="en-GB"/>
              </w:rPr>
              <w:t>, of the</w:t>
            </w:r>
            <w:r w:rsidR="00432C5A" w:rsidRPr="6E7860D2">
              <w:rPr>
                <w:lang w:eastAsia="en-GB"/>
              </w:rPr>
              <w:t xml:space="preserve"> validity of methodology and assessment of bias and uncertainty)</w:t>
            </w:r>
          </w:p>
        </w:tc>
        <w:tc>
          <w:tcPr>
            <w:tcW w:w="2977" w:type="dxa"/>
          </w:tcPr>
          <w:p w14:paraId="054B2EC4" w14:textId="0FC1B7D2" w:rsidR="001413DF" w:rsidRDefault="001413DF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5953" w:type="dxa"/>
          </w:tcPr>
          <w:p w14:paraId="304DCC5A" w14:textId="19136CA7" w:rsidR="001413DF" w:rsidRDefault="0EA13D29" w:rsidP="00FF1197">
            <w:pPr>
              <w:pStyle w:val="Tabletext"/>
              <w:rPr>
                <w:lang w:eastAsia="en-GB"/>
              </w:rPr>
            </w:pPr>
            <w:r w:rsidRPr="6E7860D2">
              <w:rPr>
                <w:lang w:eastAsia="en-GB"/>
              </w:rPr>
              <w:t>Critical appraisal is not considered to be confidential information and will not be redacted</w:t>
            </w:r>
            <w:r w:rsidR="0DA00943" w:rsidRPr="6E7860D2">
              <w:rPr>
                <w:lang w:eastAsia="en-GB"/>
              </w:rPr>
              <w:t xml:space="preserve">. </w:t>
            </w:r>
            <w:r w:rsidR="00817760">
              <w:rPr>
                <w:lang w:eastAsia="en-GB"/>
              </w:rPr>
              <w:t>This applies to critical appraisal</w:t>
            </w:r>
            <w:r w:rsidR="005B3201">
              <w:rPr>
                <w:lang w:eastAsia="en-GB"/>
              </w:rPr>
              <w:t>s</w:t>
            </w:r>
            <w:r w:rsidR="00817760">
              <w:rPr>
                <w:lang w:eastAsia="en-GB"/>
              </w:rPr>
              <w:t xml:space="preserve"> carried out by </w:t>
            </w:r>
            <w:r w:rsidR="00432C5A">
              <w:rPr>
                <w:lang w:eastAsia="en-GB"/>
              </w:rPr>
              <w:t xml:space="preserve">both </w:t>
            </w:r>
            <w:r w:rsidR="00817760">
              <w:rPr>
                <w:lang w:eastAsia="en-GB"/>
              </w:rPr>
              <w:t>the company and the EAG.</w:t>
            </w:r>
          </w:p>
        </w:tc>
      </w:tr>
      <w:tr w:rsidR="004F04AE" w14:paraId="37DE9AF8" w14:textId="77777777" w:rsidTr="32373F45">
        <w:tc>
          <w:tcPr>
            <w:tcW w:w="5240" w:type="dxa"/>
          </w:tcPr>
          <w:p w14:paraId="4AE50FEB" w14:textId="477968E6" w:rsidR="004F04AE" w:rsidRDefault="0045445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Data derived from clinical opinion</w:t>
            </w:r>
          </w:p>
        </w:tc>
        <w:tc>
          <w:tcPr>
            <w:tcW w:w="2977" w:type="dxa"/>
          </w:tcPr>
          <w:p w14:paraId="50A0937F" w14:textId="5AFC9763" w:rsidR="004F04AE" w:rsidRDefault="0045445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5953" w:type="dxa"/>
          </w:tcPr>
          <w:p w14:paraId="3B4742E8" w14:textId="3EF6537D" w:rsidR="004F04AE" w:rsidRDefault="00454455" w:rsidP="00FF1197">
            <w:pPr>
              <w:pStyle w:val="Tabletext"/>
              <w:rPr>
                <w:lang w:eastAsia="en-GB"/>
              </w:rPr>
            </w:pPr>
            <w:r w:rsidRPr="6E7860D2">
              <w:rPr>
                <w:lang w:eastAsia="en-GB"/>
              </w:rPr>
              <w:t xml:space="preserve">Clinical opinion may </w:t>
            </w:r>
            <w:proofErr w:type="gramStart"/>
            <w:r w:rsidRPr="6E7860D2">
              <w:rPr>
                <w:lang w:eastAsia="en-GB"/>
              </w:rPr>
              <w:t>vary</w:t>
            </w:r>
            <w:proofErr w:type="gramEnd"/>
            <w:r w:rsidRPr="6E7860D2">
              <w:rPr>
                <w:lang w:eastAsia="en-GB"/>
              </w:rPr>
              <w:t xml:space="preserve"> and it is vital to have transparent discussion</w:t>
            </w:r>
            <w:r w:rsidR="777FC225" w:rsidRPr="6E7860D2">
              <w:rPr>
                <w:lang w:eastAsia="en-GB"/>
              </w:rPr>
              <w:t xml:space="preserve">. This includes the outcome </w:t>
            </w:r>
            <w:r w:rsidR="00817760">
              <w:rPr>
                <w:lang w:eastAsia="en-GB"/>
              </w:rPr>
              <w:t>of</w:t>
            </w:r>
            <w:r w:rsidR="005C319A">
              <w:rPr>
                <w:lang w:eastAsia="en-GB"/>
              </w:rPr>
              <w:t xml:space="preserve"> </w:t>
            </w:r>
            <w:r w:rsidR="777FC225" w:rsidRPr="6E7860D2">
              <w:rPr>
                <w:lang w:eastAsia="en-GB"/>
              </w:rPr>
              <w:t>expert elicitation</w:t>
            </w:r>
            <w:r w:rsidR="6B71B6C6" w:rsidRPr="6E7860D2">
              <w:rPr>
                <w:lang w:eastAsia="en-GB"/>
              </w:rPr>
              <w:t>.</w:t>
            </w:r>
          </w:p>
        </w:tc>
      </w:tr>
      <w:tr w:rsidR="004F04AE" w14:paraId="4385D0E7" w14:textId="77777777" w:rsidTr="32373F45">
        <w:tc>
          <w:tcPr>
            <w:tcW w:w="5240" w:type="dxa"/>
          </w:tcPr>
          <w:p w14:paraId="71EBEA04" w14:textId="4B27C82C" w:rsidR="004F04AE" w:rsidRDefault="00454455" w:rsidP="00FF1197">
            <w:pPr>
              <w:pStyle w:val="Tabletext"/>
              <w:rPr>
                <w:lang w:eastAsia="en-GB"/>
              </w:rPr>
            </w:pPr>
            <w:r w:rsidRPr="6E7860D2">
              <w:rPr>
                <w:lang w:eastAsia="en-GB"/>
              </w:rPr>
              <w:t>Assumptions which are not based on empirical data</w:t>
            </w:r>
          </w:p>
        </w:tc>
        <w:tc>
          <w:tcPr>
            <w:tcW w:w="2977" w:type="dxa"/>
          </w:tcPr>
          <w:p w14:paraId="027D9810" w14:textId="6ADB5CDC" w:rsidR="004F04AE" w:rsidRDefault="0045445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5953" w:type="dxa"/>
          </w:tcPr>
          <w:p w14:paraId="273F53FD" w14:textId="193C0B47" w:rsidR="004F04AE" w:rsidRDefault="0045445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The committee’s discussion o</w:t>
            </w:r>
            <w:r w:rsidR="00BA3459">
              <w:rPr>
                <w:lang w:eastAsia="en-GB"/>
              </w:rPr>
              <w:t>n</w:t>
            </w:r>
            <w:r>
              <w:rPr>
                <w:lang w:eastAsia="en-GB"/>
              </w:rPr>
              <w:t xml:space="preserve"> validity of assumptions need</w:t>
            </w:r>
            <w:r w:rsidR="005B3201">
              <w:rPr>
                <w:lang w:eastAsia="en-GB"/>
              </w:rPr>
              <w:t>s</w:t>
            </w:r>
            <w:r>
              <w:rPr>
                <w:lang w:eastAsia="en-GB"/>
              </w:rPr>
              <w:t xml:space="preserve"> to be described transparently</w:t>
            </w:r>
            <w:r w:rsidR="00845A9F">
              <w:rPr>
                <w:lang w:eastAsia="en-GB"/>
              </w:rPr>
              <w:t>.</w:t>
            </w:r>
          </w:p>
        </w:tc>
      </w:tr>
      <w:tr w:rsidR="00454455" w14:paraId="1DB2AD8F" w14:textId="77777777" w:rsidTr="32373F45">
        <w:tc>
          <w:tcPr>
            <w:tcW w:w="5240" w:type="dxa"/>
          </w:tcPr>
          <w:p w14:paraId="4F3CF978" w14:textId="382EE3C5" w:rsidR="00454455" w:rsidRDefault="0045445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Data which is commercial</w:t>
            </w:r>
            <w:r w:rsidR="005B3201">
              <w:rPr>
                <w:lang w:eastAsia="en-GB"/>
              </w:rPr>
              <w:t>ly</w:t>
            </w:r>
            <w:r>
              <w:rPr>
                <w:lang w:eastAsia="en-GB"/>
              </w:rPr>
              <w:t xml:space="preserve"> sensitive or allows back-calculation of data which is commercially sensitive</w:t>
            </w:r>
          </w:p>
        </w:tc>
        <w:tc>
          <w:tcPr>
            <w:tcW w:w="2977" w:type="dxa"/>
          </w:tcPr>
          <w:p w14:paraId="713B4496" w14:textId="3838E5B6" w:rsidR="00454455" w:rsidRDefault="0045445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5953" w:type="dxa"/>
          </w:tcPr>
          <w:p w14:paraId="09C32016" w14:textId="6474A993" w:rsidR="00454455" w:rsidRDefault="00454455" w:rsidP="00FF1197">
            <w:pPr>
              <w:pStyle w:val="Tabletext"/>
              <w:rPr>
                <w:lang w:eastAsia="en-GB"/>
              </w:rPr>
            </w:pPr>
            <w:r w:rsidRPr="61642BD2">
              <w:rPr>
                <w:lang w:eastAsia="en-GB"/>
              </w:rPr>
              <w:t>Please see guidance on how this may be applied</w:t>
            </w:r>
            <w:r w:rsidR="6DAC1849" w:rsidRPr="61642BD2">
              <w:rPr>
                <w:lang w:eastAsia="en-GB"/>
              </w:rPr>
              <w:t xml:space="preserve"> in table 3.1</w:t>
            </w:r>
            <w:r w:rsidR="005C319A" w:rsidRPr="61642BD2">
              <w:rPr>
                <w:lang w:eastAsia="en-GB"/>
              </w:rPr>
              <w:t>.</w:t>
            </w:r>
          </w:p>
        </w:tc>
      </w:tr>
    </w:tbl>
    <w:p w14:paraId="0D11444B" w14:textId="0102A93B" w:rsidR="006775D3" w:rsidRDefault="006775D3" w:rsidP="00B2625D">
      <w:pPr>
        <w:pStyle w:val="Paragraph"/>
        <w:rPr>
          <w:lang w:eastAsia="en-GB"/>
        </w:rPr>
      </w:pPr>
    </w:p>
    <w:p w14:paraId="6245E712" w14:textId="6B9BA076" w:rsidR="00E74D47" w:rsidRPr="005C319A" w:rsidRDefault="00E74D47" w:rsidP="00FF1197">
      <w:pPr>
        <w:pStyle w:val="Numberedheading1"/>
        <w:rPr>
          <w:lang w:eastAsia="en-GB"/>
        </w:rPr>
      </w:pPr>
      <w:bookmarkStart w:id="8" w:name="_Toc132121905"/>
      <w:bookmarkStart w:id="9" w:name="_Toc132202188"/>
      <w:r w:rsidRPr="61642BD2">
        <w:rPr>
          <w:lang w:eastAsia="en-GB"/>
        </w:rPr>
        <w:lastRenderedPageBreak/>
        <w:t xml:space="preserve">Data </w:t>
      </w:r>
      <w:r w:rsidR="0016570E" w:rsidRPr="61642BD2">
        <w:rPr>
          <w:lang w:eastAsia="en-GB"/>
        </w:rPr>
        <w:t xml:space="preserve">and information </w:t>
      </w:r>
      <w:r w:rsidRPr="61642BD2">
        <w:rPr>
          <w:lang w:eastAsia="en-GB"/>
        </w:rPr>
        <w:t xml:space="preserve">which is fundamental to committee decision making and </w:t>
      </w:r>
      <w:r w:rsidR="005C319A" w:rsidRPr="61642BD2">
        <w:rPr>
          <w:lang w:eastAsia="en-GB"/>
        </w:rPr>
        <w:t xml:space="preserve">the </w:t>
      </w:r>
      <w:r w:rsidRPr="61642BD2">
        <w:rPr>
          <w:lang w:eastAsia="en-GB"/>
        </w:rPr>
        <w:t xml:space="preserve">minimum reporting </w:t>
      </w:r>
      <w:proofErr w:type="gramStart"/>
      <w:r w:rsidRPr="61642BD2">
        <w:rPr>
          <w:lang w:eastAsia="en-GB"/>
        </w:rPr>
        <w:t>requirements</w:t>
      </w:r>
      <w:bookmarkEnd w:id="8"/>
      <w:bookmarkEnd w:id="9"/>
      <w:proofErr w:type="gramEnd"/>
    </w:p>
    <w:p w14:paraId="74E28598" w14:textId="3A34A6C7" w:rsidR="00FB419F" w:rsidRDefault="00217A38" w:rsidP="00FF1197">
      <w:pPr>
        <w:pStyle w:val="NICEnormal"/>
        <w:rPr>
          <w:lang w:eastAsia="en-GB"/>
        </w:rPr>
      </w:pPr>
      <w:r w:rsidRPr="6E7860D2">
        <w:rPr>
          <w:lang w:eastAsia="en-GB"/>
        </w:rPr>
        <w:t>A c</w:t>
      </w:r>
      <w:r w:rsidR="00E74D47" w:rsidRPr="6E7860D2">
        <w:rPr>
          <w:lang w:eastAsia="en-GB"/>
        </w:rPr>
        <w:t>ommittee consider</w:t>
      </w:r>
      <w:r w:rsidR="00665713" w:rsidRPr="6E7860D2">
        <w:rPr>
          <w:lang w:eastAsia="en-GB"/>
        </w:rPr>
        <w:t>s</w:t>
      </w:r>
      <w:r w:rsidR="00E74D47" w:rsidRPr="6E7860D2">
        <w:rPr>
          <w:lang w:eastAsia="en-GB"/>
        </w:rPr>
        <w:t xml:space="preserve"> the generalisability, uncertainty around and plausibility of parameters included in the economic model in </w:t>
      </w:r>
      <w:r w:rsidR="00FB419F">
        <w:rPr>
          <w:lang w:eastAsia="en-GB"/>
        </w:rPr>
        <w:t>its</w:t>
      </w:r>
      <w:r w:rsidR="00E74D47" w:rsidRPr="6E7860D2">
        <w:rPr>
          <w:lang w:eastAsia="en-GB"/>
        </w:rPr>
        <w:t xml:space="preserve"> decision making. Committees also consider the plausibility of modelled outcomes and cost</w:t>
      </w:r>
      <w:r w:rsidR="00C86F6C">
        <w:rPr>
          <w:lang w:eastAsia="en-GB"/>
        </w:rPr>
        <w:t>-</w:t>
      </w:r>
      <w:r w:rsidR="00E74D47" w:rsidRPr="6E7860D2">
        <w:rPr>
          <w:lang w:eastAsia="en-GB"/>
        </w:rPr>
        <w:t xml:space="preserve">effectiveness estimates to make the recommendations. </w:t>
      </w:r>
    </w:p>
    <w:p w14:paraId="187A311B" w14:textId="2E1C4639" w:rsidR="00E74D47" w:rsidRDefault="00BA3459" w:rsidP="00FF1197">
      <w:pPr>
        <w:pStyle w:val="NICEnormal"/>
        <w:rPr>
          <w:lang w:eastAsia="en-GB"/>
        </w:rPr>
      </w:pPr>
      <w:r>
        <w:rPr>
          <w:lang w:eastAsia="en-GB"/>
        </w:rPr>
        <w:t>D</w:t>
      </w:r>
      <w:r w:rsidR="00217A38" w:rsidRPr="6E7860D2">
        <w:rPr>
          <w:lang w:eastAsia="en-GB"/>
        </w:rPr>
        <w:t xml:space="preserve">ata which is fundamental to committee decision making and is typically discussed in the </w:t>
      </w:r>
      <w:r w:rsidR="00C86F6C">
        <w:rPr>
          <w:lang w:eastAsia="en-GB"/>
        </w:rPr>
        <w:t>c</w:t>
      </w:r>
      <w:r w:rsidR="00217A38" w:rsidRPr="6E7860D2">
        <w:rPr>
          <w:lang w:eastAsia="en-GB"/>
        </w:rPr>
        <w:t xml:space="preserve">ommittee </w:t>
      </w:r>
      <w:r w:rsidR="00C86F6C">
        <w:rPr>
          <w:lang w:eastAsia="en-GB"/>
        </w:rPr>
        <w:t>m</w:t>
      </w:r>
      <w:r w:rsidR="00217A38" w:rsidRPr="6E7860D2">
        <w:rPr>
          <w:lang w:eastAsia="en-GB"/>
        </w:rPr>
        <w:t>eetings</w:t>
      </w:r>
      <w:r w:rsidR="00C86F6C">
        <w:rPr>
          <w:lang w:eastAsia="en-GB"/>
        </w:rPr>
        <w:t xml:space="preserve"> </w:t>
      </w:r>
      <w:r w:rsidR="009535B2" w:rsidRPr="6E7860D2">
        <w:rPr>
          <w:lang w:eastAsia="en-GB"/>
        </w:rPr>
        <w:t>is</w:t>
      </w:r>
      <w:r w:rsidR="00C86F6C">
        <w:rPr>
          <w:lang w:eastAsia="en-GB"/>
        </w:rPr>
        <w:t xml:space="preserve"> shown in table </w:t>
      </w:r>
      <w:r w:rsidR="009C3A99">
        <w:rPr>
          <w:lang w:eastAsia="en-GB"/>
        </w:rPr>
        <w:t>3.1</w:t>
      </w:r>
      <w:r w:rsidR="00217A38" w:rsidRPr="6E7860D2">
        <w:rPr>
          <w:lang w:eastAsia="en-GB"/>
        </w:rPr>
        <w:t>. If th</w:t>
      </w:r>
      <w:r w:rsidR="00C86F6C" w:rsidRPr="61642BD2">
        <w:rPr>
          <w:lang w:eastAsia="en-GB"/>
        </w:rPr>
        <w:t>i</w:t>
      </w:r>
      <w:r w:rsidR="00217A38" w:rsidRPr="6E7860D2">
        <w:rPr>
          <w:lang w:eastAsia="en-GB"/>
        </w:rPr>
        <w:t xml:space="preserve">s data </w:t>
      </w:r>
      <w:r w:rsidR="00C86F6C" w:rsidRPr="61642BD2">
        <w:rPr>
          <w:lang w:eastAsia="en-GB"/>
        </w:rPr>
        <w:t>is</w:t>
      </w:r>
      <w:r w:rsidR="00217A38" w:rsidRPr="6E7860D2">
        <w:rPr>
          <w:lang w:eastAsia="en-GB"/>
        </w:rPr>
        <w:t xml:space="preserve"> unpublished </w:t>
      </w:r>
      <w:r w:rsidR="00B26EF8" w:rsidRPr="6E7860D2">
        <w:rPr>
          <w:lang w:eastAsia="en-GB"/>
        </w:rPr>
        <w:t xml:space="preserve">and not </w:t>
      </w:r>
      <w:r w:rsidR="00217A38" w:rsidRPr="6E7860D2">
        <w:rPr>
          <w:lang w:eastAsia="en-GB"/>
        </w:rPr>
        <w:t>awaiting publication</w:t>
      </w:r>
      <w:r w:rsidR="00C86F6C" w:rsidRPr="61642BD2">
        <w:rPr>
          <w:lang w:eastAsia="en-GB"/>
        </w:rPr>
        <w:t>,</w:t>
      </w:r>
      <w:r w:rsidR="00217A38" w:rsidRPr="6E7860D2">
        <w:rPr>
          <w:lang w:eastAsia="en-GB"/>
        </w:rPr>
        <w:t xml:space="preserve"> please adhere to the</w:t>
      </w:r>
      <w:r w:rsidR="005C319A">
        <w:rPr>
          <w:lang w:eastAsia="en-GB"/>
        </w:rPr>
        <w:t xml:space="preserve"> </w:t>
      </w:r>
      <w:r w:rsidR="00217A38" w:rsidRPr="6E7860D2">
        <w:rPr>
          <w:lang w:eastAsia="en-GB"/>
        </w:rPr>
        <w:t>reporting requirements</w:t>
      </w:r>
      <w:r w:rsidR="00C86F6C" w:rsidRPr="61642BD2">
        <w:rPr>
          <w:lang w:eastAsia="en-GB"/>
        </w:rPr>
        <w:t xml:space="preserve"> outlined in table </w:t>
      </w:r>
      <w:r w:rsidR="009C3A99" w:rsidRPr="61642BD2">
        <w:rPr>
          <w:lang w:eastAsia="en-GB"/>
        </w:rPr>
        <w:t>3.1</w:t>
      </w:r>
      <w:r w:rsidR="00217A38" w:rsidRPr="6E7860D2">
        <w:rPr>
          <w:lang w:eastAsia="en-GB"/>
        </w:rPr>
        <w:t xml:space="preserve"> to </w:t>
      </w:r>
      <w:r w:rsidR="00657475" w:rsidRPr="61642BD2">
        <w:rPr>
          <w:lang w:eastAsia="en-GB"/>
        </w:rPr>
        <w:t xml:space="preserve">allow </w:t>
      </w:r>
      <w:r w:rsidR="00217A38" w:rsidRPr="6E7860D2">
        <w:rPr>
          <w:lang w:eastAsia="en-GB"/>
        </w:rPr>
        <w:t>transparent reporting of committee decision making.</w:t>
      </w:r>
      <w:r w:rsidR="00B26EF8" w:rsidRPr="6E7860D2">
        <w:rPr>
          <w:lang w:eastAsia="en-GB"/>
        </w:rPr>
        <w:t xml:space="preserve"> In general, this means </w:t>
      </w:r>
      <w:r w:rsidR="00C11473">
        <w:rPr>
          <w:lang w:eastAsia="en-GB"/>
        </w:rPr>
        <w:t>not redacting the</w:t>
      </w:r>
      <w:r w:rsidR="00B26EF8" w:rsidRPr="6E7860D2">
        <w:rPr>
          <w:lang w:eastAsia="en-GB"/>
        </w:rPr>
        <w:t xml:space="preserve"> data listed</w:t>
      </w:r>
      <w:r w:rsidR="005C319A">
        <w:rPr>
          <w:lang w:eastAsia="en-GB"/>
        </w:rPr>
        <w:t xml:space="preserve"> under </w:t>
      </w:r>
      <w:r w:rsidR="00657475" w:rsidRPr="61642BD2">
        <w:rPr>
          <w:lang w:eastAsia="en-GB"/>
        </w:rPr>
        <w:t>‘</w:t>
      </w:r>
      <w:r w:rsidR="005C319A">
        <w:rPr>
          <w:lang w:eastAsia="en-GB"/>
        </w:rPr>
        <w:t>standard reporting</w:t>
      </w:r>
      <w:r w:rsidR="00657475" w:rsidRPr="61642BD2">
        <w:rPr>
          <w:lang w:eastAsia="en-GB"/>
        </w:rPr>
        <w:t xml:space="preserve"> </w:t>
      </w:r>
      <w:proofErr w:type="gramStart"/>
      <w:r w:rsidR="00657475" w:rsidRPr="61642BD2">
        <w:rPr>
          <w:lang w:eastAsia="en-GB"/>
        </w:rPr>
        <w:t>requirements’</w:t>
      </w:r>
      <w:proofErr w:type="gramEnd"/>
      <w:r w:rsidR="00B26EF8" w:rsidRPr="6E7860D2">
        <w:rPr>
          <w:lang w:eastAsia="en-GB"/>
        </w:rPr>
        <w:t xml:space="preserve">. </w:t>
      </w:r>
      <w:r w:rsidR="00657475" w:rsidRPr="61642BD2">
        <w:rPr>
          <w:lang w:eastAsia="en-GB"/>
        </w:rPr>
        <w:t>However, i</w:t>
      </w:r>
      <w:r w:rsidR="00B26EF8" w:rsidRPr="6E7860D2">
        <w:rPr>
          <w:lang w:eastAsia="en-GB"/>
        </w:rPr>
        <w:t xml:space="preserve">f there are reasons why </w:t>
      </w:r>
      <w:r w:rsidR="00C86F6C" w:rsidRPr="61642BD2">
        <w:rPr>
          <w:lang w:eastAsia="en-GB"/>
        </w:rPr>
        <w:t xml:space="preserve">this </w:t>
      </w:r>
      <w:r w:rsidR="00B26EF8" w:rsidRPr="6E7860D2">
        <w:rPr>
          <w:lang w:eastAsia="en-GB"/>
        </w:rPr>
        <w:t xml:space="preserve">data </w:t>
      </w:r>
      <w:r w:rsidR="00C86F6C" w:rsidRPr="61642BD2">
        <w:rPr>
          <w:lang w:eastAsia="en-GB"/>
        </w:rPr>
        <w:t>is</w:t>
      </w:r>
      <w:r w:rsidR="003B6E0F" w:rsidRPr="6E7860D2">
        <w:rPr>
          <w:lang w:eastAsia="en-GB"/>
        </w:rPr>
        <w:t xml:space="preserve"> </w:t>
      </w:r>
      <w:r w:rsidR="00B26EF8" w:rsidRPr="6E7860D2">
        <w:rPr>
          <w:lang w:eastAsia="en-GB"/>
        </w:rPr>
        <w:t>commercially sensitive</w:t>
      </w:r>
      <w:r w:rsidR="00C86F6C" w:rsidRPr="61642BD2">
        <w:rPr>
          <w:lang w:eastAsia="en-GB"/>
        </w:rPr>
        <w:t xml:space="preserve"> (</w:t>
      </w:r>
      <w:r w:rsidR="00B26EF8" w:rsidRPr="6E7860D2">
        <w:rPr>
          <w:lang w:eastAsia="en-GB"/>
        </w:rPr>
        <w:t>for example</w:t>
      </w:r>
      <w:r w:rsidR="00C86F6C" w:rsidRPr="61642BD2">
        <w:rPr>
          <w:lang w:eastAsia="en-GB"/>
        </w:rPr>
        <w:t>,</w:t>
      </w:r>
      <w:r w:rsidR="00817760">
        <w:rPr>
          <w:lang w:eastAsia="en-GB"/>
        </w:rPr>
        <w:t xml:space="preserve"> </w:t>
      </w:r>
      <w:r w:rsidR="69DCEDBD" w:rsidRPr="6E7860D2">
        <w:rPr>
          <w:lang w:eastAsia="en-GB"/>
        </w:rPr>
        <w:t>the data</w:t>
      </w:r>
      <w:r w:rsidR="00B26EF8" w:rsidRPr="6E7860D2">
        <w:rPr>
          <w:lang w:eastAsia="en-GB"/>
        </w:rPr>
        <w:t xml:space="preserve"> would allow demonstrable back</w:t>
      </w:r>
      <w:r w:rsidR="00C86F6C" w:rsidRPr="61642BD2">
        <w:rPr>
          <w:lang w:eastAsia="en-GB"/>
        </w:rPr>
        <w:t>-</w:t>
      </w:r>
      <w:r w:rsidR="00B26EF8" w:rsidRPr="6E7860D2">
        <w:rPr>
          <w:lang w:eastAsia="en-GB"/>
        </w:rPr>
        <w:t>calculation of confidential pricing</w:t>
      </w:r>
      <w:r w:rsidR="00C86F6C" w:rsidRPr="61642BD2">
        <w:rPr>
          <w:lang w:eastAsia="en-GB"/>
        </w:rPr>
        <w:t>)</w:t>
      </w:r>
      <w:r w:rsidR="00C11473">
        <w:rPr>
          <w:lang w:eastAsia="en-GB"/>
        </w:rPr>
        <w:t xml:space="preserve">, </w:t>
      </w:r>
      <w:r w:rsidR="00B26EF8" w:rsidRPr="6E7860D2">
        <w:rPr>
          <w:lang w:eastAsia="en-GB"/>
        </w:rPr>
        <w:t xml:space="preserve">please provide the minimum reporting listed under ‘minimum reporting </w:t>
      </w:r>
      <w:proofErr w:type="gramStart"/>
      <w:r w:rsidR="00B26EF8" w:rsidRPr="6E7860D2">
        <w:rPr>
          <w:lang w:eastAsia="en-GB"/>
        </w:rPr>
        <w:t>requirements’</w:t>
      </w:r>
      <w:proofErr w:type="gramEnd"/>
      <w:r w:rsidR="00B26EF8" w:rsidRPr="6E7860D2">
        <w:rPr>
          <w:lang w:eastAsia="en-GB"/>
        </w:rPr>
        <w:t xml:space="preserve">. In these </w:t>
      </w:r>
      <w:r w:rsidR="4B0CCEA6" w:rsidRPr="6E7860D2">
        <w:rPr>
          <w:lang w:eastAsia="en-GB"/>
        </w:rPr>
        <w:t>instances,</w:t>
      </w:r>
      <w:r w:rsidR="00B26EF8" w:rsidRPr="6E7860D2">
        <w:rPr>
          <w:lang w:eastAsia="en-GB"/>
        </w:rPr>
        <w:t xml:space="preserve"> the company should give a clear rationale explain</w:t>
      </w:r>
      <w:r w:rsidR="00657475" w:rsidRPr="61642BD2">
        <w:rPr>
          <w:lang w:eastAsia="en-GB"/>
        </w:rPr>
        <w:t>ing</w:t>
      </w:r>
      <w:r w:rsidR="00B26EF8" w:rsidRPr="6E7860D2">
        <w:rPr>
          <w:lang w:eastAsia="en-GB"/>
        </w:rPr>
        <w:t xml:space="preserve"> how the data could be used </w:t>
      </w:r>
      <w:r w:rsidR="003B6E0F" w:rsidRPr="6E7860D2">
        <w:rPr>
          <w:lang w:eastAsia="en-GB"/>
        </w:rPr>
        <w:t>and why it would be a commercial risk to the company</w:t>
      </w:r>
      <w:r w:rsidR="00817760">
        <w:rPr>
          <w:lang w:eastAsia="en-GB"/>
        </w:rPr>
        <w:t xml:space="preserve"> if it </w:t>
      </w:r>
      <w:r w:rsidRPr="61642BD2">
        <w:rPr>
          <w:lang w:eastAsia="en-GB"/>
        </w:rPr>
        <w:t>i</w:t>
      </w:r>
      <w:r w:rsidR="00817760">
        <w:rPr>
          <w:lang w:eastAsia="en-GB"/>
        </w:rPr>
        <w:t>s not redacted</w:t>
      </w:r>
      <w:r w:rsidR="003B6E0F" w:rsidRPr="6E7860D2">
        <w:rPr>
          <w:lang w:eastAsia="en-GB"/>
        </w:rPr>
        <w:t xml:space="preserve">. This rationale should </w:t>
      </w:r>
      <w:r w:rsidR="3049B4B8" w:rsidRPr="6E7860D2">
        <w:rPr>
          <w:lang w:eastAsia="en-GB"/>
        </w:rPr>
        <w:t>consider</w:t>
      </w:r>
      <w:r w:rsidR="003B6E0F" w:rsidRPr="6E7860D2">
        <w:rPr>
          <w:lang w:eastAsia="en-GB"/>
        </w:rPr>
        <w:t xml:space="preserve"> </w:t>
      </w:r>
      <w:r w:rsidR="00BF46F5" w:rsidRPr="61642BD2">
        <w:rPr>
          <w:lang w:eastAsia="en-GB"/>
        </w:rPr>
        <w:t>when</w:t>
      </w:r>
      <w:r w:rsidR="003B6E0F" w:rsidRPr="6E7860D2">
        <w:rPr>
          <w:lang w:eastAsia="en-GB"/>
        </w:rPr>
        <w:t xml:space="preserve"> the document containing the information </w:t>
      </w:r>
      <w:r w:rsidR="00BF46F5" w:rsidRPr="61642BD2">
        <w:rPr>
          <w:lang w:eastAsia="en-GB"/>
        </w:rPr>
        <w:t xml:space="preserve">will be released </w:t>
      </w:r>
      <w:r w:rsidR="003B6E0F" w:rsidRPr="6E7860D2">
        <w:rPr>
          <w:lang w:eastAsia="en-GB"/>
        </w:rPr>
        <w:t>by NICE</w:t>
      </w:r>
      <w:r w:rsidR="034B1D74" w:rsidRPr="6E7860D2">
        <w:rPr>
          <w:lang w:eastAsia="en-GB"/>
        </w:rPr>
        <w:t xml:space="preserve"> (see </w:t>
      </w:r>
      <w:r w:rsidR="00C86F6C" w:rsidRPr="005213B5">
        <w:rPr>
          <w:lang w:eastAsia="en-GB"/>
        </w:rPr>
        <w:t>section 1 on w</w:t>
      </w:r>
      <w:r w:rsidR="034B1D74" w:rsidRPr="005213B5">
        <w:rPr>
          <w:lang w:eastAsia="en-GB"/>
        </w:rPr>
        <w:t>ho sees which documents and when</w:t>
      </w:r>
      <w:r w:rsidR="034B1D74" w:rsidRPr="6E7860D2">
        <w:rPr>
          <w:lang w:eastAsia="en-GB"/>
        </w:rPr>
        <w:t>)</w:t>
      </w:r>
      <w:r w:rsidR="001471B4" w:rsidRPr="6E7860D2">
        <w:rPr>
          <w:lang w:eastAsia="en-GB"/>
        </w:rPr>
        <w:t>.</w:t>
      </w:r>
    </w:p>
    <w:p w14:paraId="4EFDB936" w14:textId="77777777" w:rsidR="005213B5" w:rsidRDefault="005213B5">
      <w:pPr>
        <w:rPr>
          <w:rFonts w:ascii="Arial" w:hAnsi="Arial"/>
          <w:b/>
          <w:bCs/>
          <w:iCs/>
          <w:szCs w:val="18"/>
        </w:rPr>
      </w:pPr>
      <w:r>
        <w:br w:type="page"/>
      </w:r>
    </w:p>
    <w:p w14:paraId="59D8F8FE" w14:textId="595FE5BF" w:rsidR="00C11473" w:rsidRPr="005049E7" w:rsidRDefault="00AB1A8F" w:rsidP="005049E7">
      <w:pPr>
        <w:pStyle w:val="Caption"/>
      </w:pPr>
      <w:r w:rsidRPr="005049E7">
        <w:lastRenderedPageBreak/>
        <w:t xml:space="preserve">Table </w:t>
      </w:r>
      <w:r w:rsidR="009C3A99" w:rsidRPr="005049E7">
        <w:t>3.1</w:t>
      </w:r>
      <w:r w:rsidRPr="005049E7">
        <w:t xml:space="preserve"> </w:t>
      </w:r>
      <w:r w:rsidR="005049E7" w:rsidRPr="005049E7">
        <w:rPr>
          <w:rStyle w:val="cf01"/>
          <w:rFonts w:ascii="Arial" w:hAnsi="Arial" w:cs="Times New Roman"/>
          <w:sz w:val="24"/>
        </w:rPr>
        <w:t xml:space="preserve">Standard reporting and minimum reporting requirements </w:t>
      </w:r>
      <w:r w:rsidR="005049E7">
        <w:rPr>
          <w:rStyle w:val="cf01"/>
          <w:rFonts w:ascii="Arial" w:hAnsi="Arial" w:cs="Times New Roman"/>
          <w:sz w:val="24"/>
        </w:rPr>
        <w:t>for</w:t>
      </w:r>
      <w:r w:rsidR="005049E7" w:rsidRPr="005049E7">
        <w:rPr>
          <w:rStyle w:val="cf01"/>
          <w:rFonts w:ascii="Arial" w:hAnsi="Arial" w:cs="Times New Roman"/>
          <w:sz w:val="24"/>
        </w:rPr>
        <w:t xml:space="preserve"> clinical data and information</w:t>
      </w:r>
    </w:p>
    <w:tbl>
      <w:tblPr>
        <w:tblStyle w:val="TableGridLight"/>
        <w:tblpPr w:leftFromText="180" w:rightFromText="180" w:vertAnchor="text" w:tblpY="1"/>
        <w:tblOverlap w:val="never"/>
        <w:tblW w:w="0" w:type="auto"/>
        <w:tblLook w:val="05A0" w:firstRow="1" w:lastRow="0" w:firstColumn="1" w:lastColumn="1" w:noHBand="0" w:noVBand="1"/>
        <w:tblCaption w:val="Table 3.1 Clinical data and information fundemental to transparency of committee decision making"/>
        <w:tblDescription w:val="This table details standard reporting requirements and minimum reporting requirements and when these can be used."/>
      </w:tblPr>
      <w:tblGrid>
        <w:gridCol w:w="6799"/>
        <w:gridCol w:w="7088"/>
      </w:tblGrid>
      <w:tr w:rsidR="00B26EF8" w14:paraId="25333079" w14:textId="77777777" w:rsidTr="005213B5">
        <w:trPr>
          <w:trHeight w:val="300"/>
        </w:trPr>
        <w:tc>
          <w:tcPr>
            <w:tcW w:w="6799" w:type="dxa"/>
          </w:tcPr>
          <w:p w14:paraId="1AEF8607" w14:textId="2C3210ED" w:rsidR="0073345E" w:rsidRDefault="009535B2" w:rsidP="00086E20">
            <w:pPr>
              <w:pStyle w:val="Tableheading"/>
              <w:rPr>
                <w:lang w:eastAsia="en-GB"/>
              </w:rPr>
            </w:pPr>
            <w:r w:rsidRPr="0034592F">
              <w:rPr>
                <w:lang w:eastAsia="en-GB"/>
              </w:rPr>
              <w:t>Standard reporting</w:t>
            </w:r>
            <w:r w:rsidR="00C11473" w:rsidRPr="0034592F">
              <w:rPr>
                <w:lang w:eastAsia="en-GB"/>
              </w:rPr>
              <w:t xml:space="preserve"> </w:t>
            </w:r>
            <w:r w:rsidR="00657475">
              <w:rPr>
                <w:lang w:eastAsia="en-GB"/>
              </w:rPr>
              <w:t>requirements</w:t>
            </w:r>
            <w:r w:rsidR="005049E7">
              <w:rPr>
                <w:lang w:eastAsia="en-GB"/>
              </w:rPr>
              <w:t xml:space="preserve"> </w:t>
            </w:r>
          </w:p>
          <w:p w14:paraId="3508C6DD" w14:textId="6819BF3D" w:rsidR="00B26EF8" w:rsidRPr="0034592F" w:rsidRDefault="0073345E" w:rsidP="00FF1197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>T</w:t>
            </w:r>
            <w:r w:rsidR="00C11473" w:rsidRPr="0034592F">
              <w:rPr>
                <w:lang w:eastAsia="en-GB"/>
              </w:rPr>
              <w:t>he</w:t>
            </w:r>
            <w:r>
              <w:rPr>
                <w:lang w:eastAsia="en-GB"/>
              </w:rPr>
              <w:t>se</w:t>
            </w:r>
            <w:r w:rsidR="00C11473" w:rsidRPr="0034592F">
              <w:rPr>
                <w:lang w:eastAsia="en-GB"/>
              </w:rPr>
              <w:t xml:space="preserve"> should not be redacted</w:t>
            </w:r>
            <w:r w:rsidR="00341377" w:rsidRPr="0034592F">
              <w:rPr>
                <w:lang w:eastAsia="en-GB"/>
              </w:rPr>
              <w:t xml:space="preserve"> whe</w:t>
            </w:r>
            <w:r>
              <w:rPr>
                <w:lang w:eastAsia="en-GB"/>
              </w:rPr>
              <w:t>n</w:t>
            </w:r>
            <w:r w:rsidR="00341377" w:rsidRPr="0034592F">
              <w:rPr>
                <w:lang w:eastAsia="en-GB"/>
              </w:rPr>
              <w:t xml:space="preserve"> possible</w:t>
            </w:r>
          </w:p>
        </w:tc>
        <w:tc>
          <w:tcPr>
            <w:tcW w:w="7088" w:type="dxa"/>
          </w:tcPr>
          <w:p w14:paraId="2918B2CA" w14:textId="3ECA7FDF" w:rsidR="00982B5F" w:rsidRPr="0034592F" w:rsidRDefault="00B26EF8" w:rsidP="00FF1197">
            <w:pPr>
              <w:pStyle w:val="Tableheading"/>
              <w:rPr>
                <w:lang w:eastAsia="en-GB"/>
              </w:rPr>
            </w:pPr>
            <w:r w:rsidRPr="0034592F">
              <w:rPr>
                <w:lang w:eastAsia="en-GB"/>
              </w:rPr>
              <w:t>Minimum reporting requirements</w:t>
            </w:r>
          </w:p>
          <w:p w14:paraId="2CC1E321" w14:textId="3A181116" w:rsidR="00B26EF8" w:rsidRDefault="00982B5F" w:rsidP="00FF1197">
            <w:pPr>
              <w:pStyle w:val="Tableheading"/>
              <w:rPr>
                <w:lang w:eastAsia="en-GB"/>
              </w:rPr>
            </w:pPr>
            <w:r w:rsidRPr="0034592F">
              <w:rPr>
                <w:lang w:eastAsia="en-GB"/>
              </w:rPr>
              <w:t xml:space="preserve">These should be used when </w:t>
            </w:r>
            <w:r w:rsidR="008F79B6">
              <w:rPr>
                <w:lang w:eastAsia="en-GB"/>
              </w:rPr>
              <w:t xml:space="preserve">there </w:t>
            </w:r>
            <w:r w:rsidRPr="0034592F">
              <w:rPr>
                <w:lang w:eastAsia="en-GB"/>
              </w:rPr>
              <w:t>is</w:t>
            </w:r>
            <w:r w:rsidR="008F79B6">
              <w:rPr>
                <w:lang w:eastAsia="en-GB"/>
              </w:rPr>
              <w:t xml:space="preserve"> a</w:t>
            </w:r>
            <w:r w:rsidRPr="0034592F">
              <w:rPr>
                <w:lang w:eastAsia="en-GB"/>
              </w:rPr>
              <w:t xml:space="preserve"> demonstrated risk to the company of releasing data specified in the standard reporting column.</w:t>
            </w:r>
            <w:r w:rsidR="00341377" w:rsidRPr="0034592F">
              <w:rPr>
                <w:lang w:eastAsia="en-GB"/>
              </w:rPr>
              <w:t xml:space="preserve"> Whe</w:t>
            </w:r>
            <w:r w:rsidR="0073345E">
              <w:rPr>
                <w:lang w:eastAsia="en-GB"/>
              </w:rPr>
              <w:t>n</w:t>
            </w:r>
            <w:r w:rsidR="00341377" w:rsidRPr="0034592F">
              <w:rPr>
                <w:lang w:eastAsia="en-GB"/>
              </w:rPr>
              <w:t xml:space="preserve"> these</w:t>
            </w:r>
            <w:r w:rsidRPr="0034592F">
              <w:rPr>
                <w:lang w:eastAsia="en-GB"/>
              </w:rPr>
              <w:t xml:space="preserve"> minimum reporting</w:t>
            </w:r>
            <w:r w:rsidR="00341377" w:rsidRPr="0034592F">
              <w:rPr>
                <w:lang w:eastAsia="en-GB"/>
              </w:rPr>
              <w:t xml:space="preserve"> requirements list a descriptive summary of the data</w:t>
            </w:r>
            <w:r w:rsidRPr="0034592F">
              <w:rPr>
                <w:lang w:eastAsia="en-GB"/>
              </w:rPr>
              <w:t>,</w:t>
            </w:r>
            <w:r w:rsidR="00341377" w:rsidRPr="0034592F">
              <w:rPr>
                <w:lang w:eastAsia="en-GB"/>
              </w:rPr>
              <w:t xml:space="preserve"> this should be presented in addition to the data which is highlighted as confidential</w:t>
            </w:r>
          </w:p>
        </w:tc>
      </w:tr>
      <w:tr w:rsidR="00B26EF8" w14:paraId="7916680F" w14:textId="77777777" w:rsidTr="005213B5">
        <w:trPr>
          <w:trHeight w:val="300"/>
        </w:trPr>
        <w:tc>
          <w:tcPr>
            <w:tcW w:w="6799" w:type="dxa"/>
          </w:tcPr>
          <w:p w14:paraId="11FECE64" w14:textId="1EEB27EB" w:rsidR="00D15A90" w:rsidRPr="0034592F" w:rsidRDefault="00217A38" w:rsidP="00FF1197">
            <w:pPr>
              <w:pStyle w:val="Tabletext"/>
            </w:pPr>
            <w:r w:rsidRPr="0034592F">
              <w:t>Baseline</w:t>
            </w:r>
            <w:r w:rsidR="000D34BD">
              <w:t xml:space="preserve"> and </w:t>
            </w:r>
            <w:r w:rsidRPr="0034592F">
              <w:t xml:space="preserve">patient characteristics of </w:t>
            </w:r>
            <w:r w:rsidR="00926997">
              <w:t>whole</w:t>
            </w:r>
            <w:r w:rsidR="00926997" w:rsidRPr="0034592F">
              <w:t xml:space="preserve"> </w:t>
            </w:r>
            <w:r w:rsidRPr="0034592F">
              <w:t>trial population informing the company’s decision problem</w:t>
            </w:r>
            <w:r w:rsidR="008F79B6">
              <w:t>.</w:t>
            </w:r>
          </w:p>
          <w:p w14:paraId="37D75060" w14:textId="30A8C3E8" w:rsidR="00B26EF8" w:rsidRDefault="00B26EF8" w:rsidP="00FF1197">
            <w:pPr>
              <w:pStyle w:val="Tabletext"/>
            </w:pPr>
          </w:p>
        </w:tc>
        <w:tc>
          <w:tcPr>
            <w:tcW w:w="7088" w:type="dxa"/>
          </w:tcPr>
          <w:p w14:paraId="5A33321D" w14:textId="63B4986F" w:rsidR="001471B4" w:rsidRDefault="00AA0038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This d</w:t>
            </w:r>
            <w:r w:rsidR="00C94DD1">
              <w:rPr>
                <w:lang w:eastAsia="en-GB"/>
              </w:rPr>
              <w:t xml:space="preserve">ata </w:t>
            </w:r>
            <w:r>
              <w:rPr>
                <w:lang w:eastAsia="en-GB"/>
              </w:rPr>
              <w:t xml:space="preserve">for the </w:t>
            </w:r>
            <w:r w:rsidR="00926997">
              <w:rPr>
                <w:lang w:eastAsia="en-GB"/>
              </w:rPr>
              <w:t>whole</w:t>
            </w:r>
            <w:r>
              <w:rPr>
                <w:lang w:eastAsia="en-GB"/>
              </w:rPr>
              <w:t xml:space="preserve"> trial population </w:t>
            </w:r>
            <w:r w:rsidR="00C94DD1">
              <w:rPr>
                <w:lang w:eastAsia="en-GB"/>
              </w:rPr>
              <w:t xml:space="preserve">should be </w:t>
            </w:r>
            <w:r w:rsidR="00926997">
              <w:rPr>
                <w:lang w:eastAsia="en-GB"/>
              </w:rPr>
              <w:t>reported</w:t>
            </w:r>
            <w:r w:rsidR="00C94DD1">
              <w:rPr>
                <w:lang w:eastAsia="en-GB"/>
              </w:rPr>
              <w:t xml:space="preserve"> in full </w:t>
            </w:r>
            <w:r w:rsidR="00116694">
              <w:rPr>
                <w:lang w:eastAsia="en-GB"/>
              </w:rPr>
              <w:t>because it</w:t>
            </w:r>
            <w:r w:rsidR="00C94DD1">
              <w:rPr>
                <w:lang w:eastAsia="en-GB"/>
              </w:rPr>
              <w:t xml:space="preserve"> is expected to </w:t>
            </w:r>
            <w:r w:rsidR="001471B4">
              <w:rPr>
                <w:lang w:eastAsia="en-GB"/>
              </w:rPr>
              <w:t xml:space="preserve">be </w:t>
            </w:r>
            <w:r w:rsidR="00A05DDE">
              <w:rPr>
                <w:lang w:eastAsia="en-GB"/>
              </w:rPr>
              <w:t>published within</w:t>
            </w:r>
            <w:r w:rsidR="001471B4">
              <w:rPr>
                <w:lang w:eastAsia="en-GB"/>
              </w:rPr>
              <w:t xml:space="preserve"> </w:t>
            </w:r>
            <w:r w:rsidR="00A05DDE">
              <w:rPr>
                <w:lang w:eastAsia="en-GB"/>
              </w:rPr>
              <w:t>marketing authorisation</w:t>
            </w:r>
            <w:r w:rsidR="001471B4">
              <w:rPr>
                <w:lang w:eastAsia="en-GB"/>
              </w:rPr>
              <w:t xml:space="preserve"> documentation</w:t>
            </w:r>
            <w:r w:rsidR="000D34BD">
              <w:rPr>
                <w:lang w:eastAsia="en-GB"/>
              </w:rPr>
              <w:t>.</w:t>
            </w:r>
          </w:p>
        </w:tc>
      </w:tr>
      <w:tr w:rsidR="00787B87" w14:paraId="4DAE61B3" w14:textId="77777777" w:rsidTr="005213B5">
        <w:trPr>
          <w:trHeight w:val="300"/>
        </w:trPr>
        <w:tc>
          <w:tcPr>
            <w:tcW w:w="6799" w:type="dxa"/>
          </w:tcPr>
          <w:p w14:paraId="10055144" w14:textId="01B03C91" w:rsidR="000D34BD" w:rsidRDefault="00787B87" w:rsidP="00086E20">
            <w:pPr>
              <w:pStyle w:val="Tabletext"/>
            </w:pPr>
            <w:r w:rsidRPr="00FF1197">
              <w:t>Baseline</w:t>
            </w:r>
            <w:r w:rsidR="000D34BD" w:rsidRPr="00FF1197">
              <w:t xml:space="preserve"> and </w:t>
            </w:r>
            <w:r w:rsidRPr="00FF1197">
              <w:t>patient characteristics of all subgroups included in the company’s decision problem</w:t>
            </w:r>
            <w:r w:rsidR="000D34BD">
              <w:t>.</w:t>
            </w:r>
            <w:r>
              <w:t xml:space="preserve"> </w:t>
            </w:r>
          </w:p>
          <w:p w14:paraId="155E3559" w14:textId="611042EB" w:rsidR="000D34BD" w:rsidRDefault="000D34BD" w:rsidP="00086E20">
            <w:pPr>
              <w:pStyle w:val="Tabletext"/>
            </w:pPr>
            <w:r>
              <w:t>T</w:t>
            </w:r>
            <w:r w:rsidR="00787B87">
              <w:t>his includes</w:t>
            </w:r>
            <w:r>
              <w:t>:</w:t>
            </w:r>
          </w:p>
          <w:p w14:paraId="2F575B62" w14:textId="12C87CB5" w:rsidR="000D34BD" w:rsidRDefault="00787B87" w:rsidP="00086E20">
            <w:pPr>
              <w:pStyle w:val="Tablebullet"/>
            </w:pPr>
            <w:r>
              <w:t xml:space="preserve">subgroups outlined in the final scope issued by NICE for whom the company have presented </w:t>
            </w:r>
            <w:proofErr w:type="gramStart"/>
            <w:r>
              <w:t>data</w:t>
            </w:r>
            <w:proofErr w:type="gramEnd"/>
            <w:r>
              <w:t xml:space="preserve"> </w:t>
            </w:r>
          </w:p>
          <w:p w14:paraId="317EAD59" w14:textId="1CD9316A" w:rsidR="000D34BD" w:rsidRDefault="000D34BD" w:rsidP="00086E20">
            <w:pPr>
              <w:pStyle w:val="Tablebullet"/>
            </w:pPr>
            <w:r>
              <w:t xml:space="preserve">data for the population covered by the </w:t>
            </w:r>
            <w:r w:rsidR="00926997">
              <w:t>marketing authorisation</w:t>
            </w:r>
            <w:r>
              <w:t>, i</w:t>
            </w:r>
            <w:r w:rsidR="00787B87">
              <w:t xml:space="preserve">f the trial population is broader than that covered by the </w:t>
            </w:r>
            <w:r w:rsidR="00926997">
              <w:t xml:space="preserve">marketing </w:t>
            </w:r>
            <w:proofErr w:type="gramStart"/>
            <w:r w:rsidR="00926997">
              <w:t>authorisation</w:t>
            </w:r>
            <w:proofErr w:type="gramEnd"/>
          </w:p>
          <w:p w14:paraId="5B87ECB9" w14:textId="45833FE3" w:rsidR="00787B87" w:rsidRDefault="00787B87" w:rsidP="00FF1197">
            <w:pPr>
              <w:pStyle w:val="Tablebullet"/>
            </w:pPr>
            <w:r>
              <w:t>the subgroup for whom the company are positioning the technology i</w:t>
            </w:r>
            <w:r w:rsidR="5D87D644">
              <w:t>f this populatio</w:t>
            </w:r>
            <w:r>
              <w:t>n</w:t>
            </w:r>
            <w:r w:rsidR="5D87D644">
              <w:t xml:space="preserve"> is</w:t>
            </w:r>
            <w:r>
              <w:t xml:space="preserve"> narrower than</w:t>
            </w:r>
            <w:r w:rsidR="5D87D644">
              <w:t xml:space="preserve"> that covered by</w:t>
            </w:r>
            <w:r>
              <w:t xml:space="preserve"> the </w:t>
            </w:r>
            <w:r w:rsidR="3F9A328A">
              <w:t>marketing authorisation</w:t>
            </w:r>
            <w:r>
              <w:t>.</w:t>
            </w:r>
          </w:p>
        </w:tc>
        <w:tc>
          <w:tcPr>
            <w:tcW w:w="7088" w:type="dxa"/>
          </w:tcPr>
          <w:p w14:paraId="08916A79" w14:textId="16621F2C" w:rsidR="00787B87" w:rsidRDefault="00341377" w:rsidP="00FF1197">
            <w:pPr>
              <w:pStyle w:val="Tabletext"/>
              <w:rPr>
                <w:lang w:eastAsia="en-GB"/>
              </w:rPr>
            </w:pPr>
            <w:r w:rsidRPr="6E7860D2">
              <w:rPr>
                <w:lang w:eastAsia="en-GB"/>
              </w:rPr>
              <w:t xml:space="preserve">For the </w:t>
            </w:r>
            <w:r>
              <w:rPr>
                <w:lang w:eastAsia="en-GB"/>
              </w:rPr>
              <w:t>subgroups</w:t>
            </w:r>
            <w:r w:rsidR="00AB1A8F">
              <w:rPr>
                <w:lang w:eastAsia="en-GB"/>
              </w:rPr>
              <w:t>,</w:t>
            </w:r>
            <w:r w:rsidRPr="6E7860D2">
              <w:rPr>
                <w:lang w:eastAsia="en-GB"/>
              </w:rPr>
              <w:t xml:space="preserve"> a description of any imbalances between treatment arms or differences between the subgroup</w:t>
            </w:r>
            <w:r w:rsidR="00BA3459">
              <w:rPr>
                <w:lang w:eastAsia="en-GB"/>
              </w:rPr>
              <w:t>s</w:t>
            </w:r>
            <w:r w:rsidRPr="6E7860D2">
              <w:rPr>
                <w:lang w:eastAsia="en-GB"/>
              </w:rPr>
              <w:t xml:space="preserve"> and whole trial population should be provided.</w:t>
            </w:r>
          </w:p>
        </w:tc>
      </w:tr>
      <w:tr w:rsidR="005938C8" w14:paraId="12798A84" w14:textId="77777777" w:rsidTr="005213B5">
        <w:trPr>
          <w:trHeight w:val="300"/>
        </w:trPr>
        <w:tc>
          <w:tcPr>
            <w:tcW w:w="6799" w:type="dxa"/>
          </w:tcPr>
          <w:p w14:paraId="0357977A" w14:textId="40E4B753" w:rsidR="005938C8" w:rsidRPr="005049E7" w:rsidRDefault="0892D789" w:rsidP="61642BD2">
            <w:pPr>
              <w:pStyle w:val="Tabletext"/>
            </w:pPr>
            <w:r>
              <w:t>Primary outcome</w:t>
            </w:r>
            <w:r w:rsidR="716BEA80">
              <w:t>s</w:t>
            </w:r>
            <w:r>
              <w:t xml:space="preserve"> (including for subgroups in</w:t>
            </w:r>
            <w:r w:rsidR="3C32DAB3">
              <w:t xml:space="preserve"> the</w:t>
            </w:r>
            <w:r>
              <w:t xml:space="preserve"> company’s decision problem</w:t>
            </w:r>
            <w:r w:rsidR="3C32DAB3">
              <w:t>,</w:t>
            </w:r>
            <w:r>
              <w:t xml:space="preserve"> if relevant) at the data</w:t>
            </w:r>
            <w:r w:rsidR="3C32DAB3">
              <w:t xml:space="preserve"> </w:t>
            </w:r>
            <w:r>
              <w:t>cut included in the model</w:t>
            </w:r>
            <w:r w:rsidR="3F9A328A">
              <w:t>.</w:t>
            </w:r>
          </w:p>
          <w:p w14:paraId="7D1480EF" w14:textId="77777777" w:rsidR="005938C8" w:rsidRPr="0034592F" w:rsidRDefault="005938C8" w:rsidP="00086E20">
            <w:pPr>
              <w:pStyle w:val="Tabletext"/>
            </w:pPr>
          </w:p>
        </w:tc>
        <w:tc>
          <w:tcPr>
            <w:tcW w:w="7088" w:type="dxa"/>
          </w:tcPr>
          <w:p w14:paraId="16A3517B" w14:textId="23A6F93E" w:rsidR="005938C8" w:rsidRPr="6E7860D2" w:rsidRDefault="0892D789" w:rsidP="00086E20">
            <w:pPr>
              <w:pStyle w:val="Tabletext"/>
              <w:rPr>
                <w:lang w:eastAsia="en-GB"/>
              </w:rPr>
            </w:pPr>
            <w:r>
              <w:t>Primary outcomes at the data cut which inform the regulatory submission</w:t>
            </w:r>
            <w:r w:rsidR="3F9A328A">
              <w:t xml:space="preserve"> should be reported because they</w:t>
            </w:r>
            <w:r>
              <w:t xml:space="preserve"> are published within </w:t>
            </w:r>
            <w:r w:rsidR="3F9A328A">
              <w:t>marketing authorisation</w:t>
            </w:r>
            <w:r>
              <w:t xml:space="preserve"> documentation.</w:t>
            </w:r>
          </w:p>
        </w:tc>
      </w:tr>
      <w:tr w:rsidR="00341377" w14:paraId="61F06FB0" w14:textId="77777777" w:rsidTr="005213B5">
        <w:trPr>
          <w:trHeight w:val="300"/>
        </w:trPr>
        <w:tc>
          <w:tcPr>
            <w:tcW w:w="6799" w:type="dxa"/>
          </w:tcPr>
          <w:p w14:paraId="6B9EA002" w14:textId="36866894" w:rsidR="00341377" w:rsidRPr="00FF1197" w:rsidRDefault="00341377" w:rsidP="00FF1197">
            <w:pPr>
              <w:pStyle w:val="Tabletext"/>
            </w:pPr>
            <w:r>
              <w:t>Relative treatment effect and measure of precision such as 95% confidence interval</w:t>
            </w:r>
            <w:r w:rsidR="00A05DDE" w:rsidRPr="00FF1197">
              <w:t>.</w:t>
            </w:r>
          </w:p>
        </w:tc>
        <w:tc>
          <w:tcPr>
            <w:tcW w:w="7088" w:type="dxa"/>
          </w:tcPr>
          <w:p w14:paraId="54460E6F" w14:textId="6CC30447" w:rsidR="00341377" w:rsidRDefault="00341377">
            <w:pPr>
              <w:pStyle w:val="Tabletext"/>
              <w:rPr>
                <w:lang w:eastAsia="en-GB"/>
              </w:rPr>
            </w:pPr>
            <w:r w:rsidRPr="6E7860D2">
              <w:rPr>
                <w:lang w:eastAsia="en-GB"/>
              </w:rPr>
              <w:t>If data from a later data cut than</w:t>
            </w:r>
            <w:r w:rsidR="006463DE">
              <w:rPr>
                <w:lang w:eastAsia="en-GB"/>
              </w:rPr>
              <w:t xml:space="preserve"> what</w:t>
            </w:r>
            <w:r w:rsidRPr="6E7860D2">
              <w:rPr>
                <w:lang w:eastAsia="en-GB"/>
              </w:rPr>
              <w:t xml:space="preserve"> informed the </w:t>
            </w:r>
            <w:r w:rsidR="00A05DDE">
              <w:rPr>
                <w:lang w:eastAsia="en-GB"/>
              </w:rPr>
              <w:t>marketing authorisation</w:t>
            </w:r>
            <w:r w:rsidRPr="6E7860D2">
              <w:rPr>
                <w:lang w:eastAsia="en-GB"/>
              </w:rPr>
              <w:t xml:space="preserve"> is used in the model</w:t>
            </w:r>
            <w:r>
              <w:rPr>
                <w:lang w:eastAsia="en-GB"/>
              </w:rPr>
              <w:t xml:space="preserve"> and is marked as confidential</w:t>
            </w:r>
            <w:r w:rsidR="006463DE">
              <w:rPr>
                <w:lang w:eastAsia="en-GB"/>
              </w:rPr>
              <w:t>,</w:t>
            </w:r>
            <w:r>
              <w:rPr>
                <w:lang w:eastAsia="en-GB"/>
              </w:rPr>
              <w:t xml:space="preserve"> then</w:t>
            </w:r>
            <w:r w:rsidRPr="6E7860D2">
              <w:rPr>
                <w:lang w:eastAsia="en-GB"/>
              </w:rPr>
              <w:t xml:space="preserve"> the</w:t>
            </w:r>
            <w:r>
              <w:rPr>
                <w:lang w:eastAsia="en-GB"/>
              </w:rPr>
              <w:t xml:space="preserve"> unredacted</w:t>
            </w:r>
            <w:r w:rsidRPr="6E7860D2">
              <w:rPr>
                <w:lang w:eastAsia="en-GB"/>
              </w:rPr>
              <w:t xml:space="preserve"> data cut informing the </w:t>
            </w:r>
            <w:r w:rsidR="002210E6">
              <w:rPr>
                <w:lang w:eastAsia="en-GB"/>
              </w:rPr>
              <w:t>marketing authorisation</w:t>
            </w:r>
            <w:r w:rsidRPr="6E7860D2">
              <w:rPr>
                <w:lang w:eastAsia="en-GB"/>
              </w:rPr>
              <w:t xml:space="preserve"> should also be presented </w:t>
            </w:r>
            <w:r>
              <w:rPr>
                <w:lang w:eastAsia="en-GB"/>
              </w:rPr>
              <w:t>alongside the later data cut.</w:t>
            </w:r>
          </w:p>
          <w:p w14:paraId="5F93F386" w14:textId="77777777" w:rsidR="00CF3E26" w:rsidRDefault="00CF3E26" w:rsidP="00FF1197">
            <w:pPr>
              <w:pStyle w:val="Tabletext"/>
              <w:rPr>
                <w:lang w:eastAsia="en-GB"/>
              </w:rPr>
            </w:pPr>
          </w:p>
          <w:p w14:paraId="1EA48D4C" w14:textId="2ABB621C" w:rsidR="00341377" w:rsidRDefault="0034137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Comment</w:t>
            </w:r>
            <w:r w:rsidR="0086654F">
              <w:rPr>
                <w:lang w:eastAsia="en-GB"/>
              </w:rPr>
              <w:t>ary should be provided</w:t>
            </w:r>
            <w:r>
              <w:rPr>
                <w:lang w:eastAsia="en-GB"/>
              </w:rPr>
              <w:t xml:space="preserve"> on similarit</w:t>
            </w:r>
            <w:r w:rsidR="0086654F">
              <w:rPr>
                <w:lang w:eastAsia="en-GB"/>
              </w:rPr>
              <w:t>ies</w:t>
            </w:r>
            <w:r w:rsidR="006463DE">
              <w:rPr>
                <w:lang w:eastAsia="en-GB"/>
              </w:rPr>
              <w:t xml:space="preserve"> or </w:t>
            </w:r>
            <w:r>
              <w:rPr>
                <w:lang w:eastAsia="en-GB"/>
              </w:rPr>
              <w:t xml:space="preserve">differences between the point estimates and </w:t>
            </w:r>
            <w:r w:rsidR="006463DE">
              <w:rPr>
                <w:lang w:eastAsia="en-GB"/>
              </w:rPr>
              <w:t>confidence interval</w:t>
            </w:r>
            <w:r>
              <w:rPr>
                <w:lang w:eastAsia="en-GB"/>
              </w:rPr>
              <w:t>s from publicly available v</w:t>
            </w:r>
            <w:r w:rsidR="006463DE">
              <w:rPr>
                <w:lang w:eastAsia="en-GB"/>
              </w:rPr>
              <w:t>er</w:t>
            </w:r>
            <w:r>
              <w:rPr>
                <w:lang w:eastAsia="en-GB"/>
              </w:rPr>
              <w:t>s</w:t>
            </w:r>
            <w:r w:rsidR="006463DE">
              <w:rPr>
                <w:lang w:eastAsia="en-GB"/>
              </w:rPr>
              <w:t>us</w:t>
            </w:r>
            <w:r>
              <w:rPr>
                <w:lang w:eastAsia="en-GB"/>
              </w:rPr>
              <w:t xml:space="preserve"> </w:t>
            </w:r>
            <w:r w:rsidR="00673E4C">
              <w:rPr>
                <w:lang w:eastAsia="en-GB"/>
              </w:rPr>
              <w:t>confidential</w:t>
            </w:r>
            <w:r>
              <w:rPr>
                <w:lang w:eastAsia="en-GB"/>
              </w:rPr>
              <w:t xml:space="preserve"> data cuts.</w:t>
            </w:r>
          </w:p>
          <w:p w14:paraId="23943120" w14:textId="77777777" w:rsidR="002210E6" w:rsidRDefault="002210E6" w:rsidP="00FF1197">
            <w:pPr>
              <w:pStyle w:val="Tabletext"/>
              <w:rPr>
                <w:lang w:eastAsia="en-GB"/>
              </w:rPr>
            </w:pPr>
          </w:p>
          <w:p w14:paraId="29CD4F56" w14:textId="785B8B76" w:rsidR="00341377" w:rsidRDefault="00341377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For subgroup data </w:t>
            </w:r>
            <w:r w:rsidR="002210E6">
              <w:rPr>
                <w:lang w:eastAsia="en-GB"/>
              </w:rPr>
              <w:t>that</w:t>
            </w:r>
            <w:r>
              <w:rPr>
                <w:lang w:eastAsia="en-GB"/>
              </w:rPr>
              <w:t xml:space="preserve"> will not be reported </w:t>
            </w:r>
            <w:r w:rsidR="0086654F">
              <w:rPr>
                <w:lang w:eastAsia="en-GB"/>
              </w:rPr>
              <w:t>with</w:t>
            </w:r>
            <w:r>
              <w:rPr>
                <w:lang w:eastAsia="en-GB"/>
              </w:rPr>
              <w:t xml:space="preserve">in </w:t>
            </w:r>
            <w:r w:rsidR="0086654F">
              <w:rPr>
                <w:lang w:eastAsia="en-GB"/>
              </w:rPr>
              <w:t>marketing authorisation documentation</w:t>
            </w:r>
            <w:r w:rsidR="006463DE">
              <w:rPr>
                <w:lang w:eastAsia="en-GB"/>
              </w:rPr>
              <w:t>,</w:t>
            </w:r>
            <w:r>
              <w:rPr>
                <w:lang w:eastAsia="en-GB"/>
              </w:rPr>
              <w:t xml:space="preserve"> a</w:t>
            </w:r>
            <w:r w:rsidR="0034592F">
              <w:rPr>
                <w:lang w:eastAsia="en-GB"/>
              </w:rPr>
              <w:t>n accompanying</w:t>
            </w:r>
            <w:r>
              <w:rPr>
                <w:lang w:eastAsia="en-GB"/>
              </w:rPr>
              <w:t xml:space="preserve"> description of the direction of treatment effect</w:t>
            </w:r>
            <w:r w:rsidR="0034592F">
              <w:rPr>
                <w:lang w:eastAsia="en-GB"/>
              </w:rPr>
              <w:t xml:space="preserve"> and </w:t>
            </w:r>
            <w:r>
              <w:rPr>
                <w:lang w:eastAsia="en-GB"/>
              </w:rPr>
              <w:t>how the point estimate and measure of precision compare with the data for the whole population</w:t>
            </w:r>
            <w:r w:rsidR="0034592F">
              <w:rPr>
                <w:lang w:eastAsia="en-GB"/>
              </w:rPr>
              <w:t xml:space="preserve"> should be provided alongside the confidential information.</w:t>
            </w:r>
            <w:r>
              <w:rPr>
                <w:lang w:eastAsia="en-GB"/>
              </w:rPr>
              <w:t xml:space="preserve"> </w:t>
            </w:r>
          </w:p>
          <w:p w14:paraId="3F6D5F5E" w14:textId="77777777" w:rsidR="00341377" w:rsidRPr="00D15A90" w:rsidRDefault="00341377" w:rsidP="00FF1197">
            <w:pPr>
              <w:pStyle w:val="Tabletext"/>
              <w:rPr>
                <w:b/>
                <w:bCs/>
                <w:lang w:eastAsia="en-GB"/>
              </w:rPr>
            </w:pPr>
          </w:p>
        </w:tc>
      </w:tr>
      <w:tr w:rsidR="00341377" w14:paraId="2F41BA8F" w14:textId="77777777" w:rsidTr="005213B5">
        <w:trPr>
          <w:trHeight w:val="300"/>
        </w:trPr>
        <w:tc>
          <w:tcPr>
            <w:tcW w:w="6799" w:type="dxa"/>
          </w:tcPr>
          <w:p w14:paraId="52E20FBA" w14:textId="5ADECE62" w:rsidR="00341377" w:rsidRPr="68E2319D" w:rsidRDefault="00341377" w:rsidP="00FF1197">
            <w:pPr>
              <w:pStyle w:val="Tabletext"/>
              <w:rPr>
                <w:b/>
                <w:bCs/>
              </w:rPr>
            </w:pPr>
            <w:r>
              <w:lastRenderedPageBreak/>
              <w:t>Kaplan</w:t>
            </w:r>
            <w:r w:rsidR="00AB1A8F">
              <w:t>–</w:t>
            </w:r>
            <w:r>
              <w:t>Meier</w:t>
            </w:r>
            <w:r w:rsidR="00AB1A8F">
              <w:t xml:space="preserve"> data</w:t>
            </w:r>
            <w:r w:rsidR="002210E6">
              <w:t xml:space="preserve"> (including extrapolations),</w:t>
            </w:r>
            <w:r>
              <w:t xml:space="preserve"> if relevant</w:t>
            </w:r>
            <w:r w:rsidR="005975EC">
              <w:t>.</w:t>
            </w:r>
            <w:r w:rsidR="00086E20">
              <w:t xml:space="preserve"> </w:t>
            </w:r>
          </w:p>
        </w:tc>
        <w:tc>
          <w:tcPr>
            <w:tcW w:w="7088" w:type="dxa"/>
          </w:tcPr>
          <w:p w14:paraId="37A320F8" w14:textId="0A9636D1" w:rsidR="00341377" w:rsidRDefault="00341377">
            <w:pPr>
              <w:pStyle w:val="Tabletext"/>
              <w:rPr>
                <w:lang w:eastAsia="en-GB"/>
              </w:rPr>
            </w:pPr>
            <w:r w:rsidRPr="6E7860D2">
              <w:rPr>
                <w:lang w:eastAsia="en-GB"/>
              </w:rPr>
              <w:t xml:space="preserve">If </w:t>
            </w:r>
            <w:r>
              <w:rPr>
                <w:lang w:eastAsia="en-GB"/>
              </w:rPr>
              <w:t>Kaplan</w:t>
            </w:r>
            <w:r w:rsidR="00086E20">
              <w:rPr>
                <w:lang w:eastAsia="en-GB"/>
              </w:rPr>
              <w:t>–</w:t>
            </w:r>
            <w:r>
              <w:rPr>
                <w:lang w:eastAsia="en-GB"/>
              </w:rPr>
              <w:t xml:space="preserve">Meier </w:t>
            </w:r>
            <w:r w:rsidRPr="6E7860D2">
              <w:rPr>
                <w:lang w:eastAsia="en-GB"/>
              </w:rPr>
              <w:t xml:space="preserve">data from a later data cut than </w:t>
            </w:r>
            <w:r w:rsidR="00086E20">
              <w:rPr>
                <w:lang w:eastAsia="en-GB"/>
              </w:rPr>
              <w:t xml:space="preserve">what </w:t>
            </w:r>
            <w:r w:rsidRPr="6E7860D2">
              <w:rPr>
                <w:lang w:eastAsia="en-GB"/>
              </w:rPr>
              <w:t xml:space="preserve">informed the </w:t>
            </w:r>
            <w:r w:rsidR="002210E6">
              <w:rPr>
                <w:lang w:eastAsia="en-GB"/>
              </w:rPr>
              <w:t>marketing authorisation</w:t>
            </w:r>
            <w:r w:rsidRPr="6E7860D2">
              <w:rPr>
                <w:lang w:eastAsia="en-GB"/>
              </w:rPr>
              <w:t xml:space="preserve"> is used in the model</w:t>
            </w:r>
            <w:r>
              <w:rPr>
                <w:lang w:eastAsia="en-GB"/>
              </w:rPr>
              <w:t xml:space="preserve"> and is marked as confidential</w:t>
            </w:r>
            <w:r w:rsidR="00086E20">
              <w:rPr>
                <w:lang w:eastAsia="en-GB"/>
              </w:rPr>
              <w:t>,</w:t>
            </w:r>
            <w:r>
              <w:rPr>
                <w:lang w:eastAsia="en-GB"/>
              </w:rPr>
              <w:t xml:space="preserve"> then</w:t>
            </w:r>
            <w:r w:rsidRPr="6E7860D2">
              <w:rPr>
                <w:lang w:eastAsia="en-GB"/>
              </w:rPr>
              <w:t xml:space="preserve"> the</w:t>
            </w:r>
            <w:r>
              <w:rPr>
                <w:lang w:eastAsia="en-GB"/>
              </w:rPr>
              <w:t xml:space="preserve"> unredacted</w:t>
            </w:r>
            <w:r w:rsidRPr="6E7860D2">
              <w:rPr>
                <w:lang w:eastAsia="en-GB"/>
              </w:rPr>
              <w:t xml:space="preserve"> data cut informing the </w:t>
            </w:r>
            <w:r w:rsidR="002210E6">
              <w:rPr>
                <w:lang w:eastAsia="en-GB"/>
              </w:rPr>
              <w:t>marketing authorisation</w:t>
            </w:r>
            <w:r w:rsidRPr="6E7860D2">
              <w:rPr>
                <w:lang w:eastAsia="en-GB"/>
              </w:rPr>
              <w:t xml:space="preserve"> should also be presented </w:t>
            </w:r>
            <w:r>
              <w:rPr>
                <w:lang w:eastAsia="en-GB"/>
              </w:rPr>
              <w:t>alongside the later data cut.</w:t>
            </w:r>
          </w:p>
          <w:p w14:paraId="3D6ED5A1" w14:textId="77777777" w:rsidR="00CF3E26" w:rsidRDefault="00CF3E26" w:rsidP="00FF1197">
            <w:pPr>
              <w:pStyle w:val="Tabletext"/>
              <w:rPr>
                <w:lang w:eastAsia="en-GB"/>
              </w:rPr>
            </w:pPr>
          </w:p>
          <w:p w14:paraId="1BD2893E" w14:textId="09246FB2" w:rsidR="00341377" w:rsidRDefault="00341377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For overall survival extrapolation</w:t>
            </w:r>
            <w:r w:rsidR="00086E20">
              <w:rPr>
                <w:lang w:eastAsia="en-GB"/>
              </w:rPr>
              <w:t>,</w:t>
            </w:r>
            <w:r>
              <w:rPr>
                <w:lang w:eastAsia="en-GB"/>
              </w:rPr>
              <w:t xml:space="preserve"> the proportions of people alive at a range of time intervals over the time horizon should be provided to enable discussion of plausibility of this modelled outcome.</w:t>
            </w:r>
          </w:p>
          <w:p w14:paraId="45823540" w14:textId="77777777" w:rsidR="00341377" w:rsidRPr="00D15A90" w:rsidRDefault="00341377" w:rsidP="00FF1197">
            <w:pPr>
              <w:pStyle w:val="Tabletext"/>
              <w:rPr>
                <w:b/>
                <w:bCs/>
                <w:lang w:eastAsia="en-GB"/>
              </w:rPr>
            </w:pPr>
          </w:p>
        </w:tc>
      </w:tr>
      <w:tr w:rsidR="00AB1A8F" w14:paraId="528ED779" w14:textId="77777777" w:rsidTr="005213B5">
        <w:trPr>
          <w:trHeight w:val="300"/>
        </w:trPr>
        <w:tc>
          <w:tcPr>
            <w:tcW w:w="6799" w:type="dxa"/>
          </w:tcPr>
          <w:p w14:paraId="52788343" w14:textId="324EAAFE" w:rsidR="00AB1A8F" w:rsidRPr="00AB1A8F" w:rsidRDefault="00AB1A8F" w:rsidP="00086E20">
            <w:pPr>
              <w:pStyle w:val="Tabletext"/>
            </w:pPr>
            <w:r w:rsidRPr="68E2319D">
              <w:t>Secondary outcomes at the data cut that inform the modelling</w:t>
            </w:r>
            <w:r w:rsidR="005975EC">
              <w:t>.</w:t>
            </w:r>
          </w:p>
        </w:tc>
        <w:tc>
          <w:tcPr>
            <w:tcW w:w="7088" w:type="dxa"/>
          </w:tcPr>
          <w:p w14:paraId="52622A94" w14:textId="77777777" w:rsidR="00AB1A8F" w:rsidRDefault="00AB1A8F" w:rsidP="00FF1197">
            <w:pPr>
              <w:pStyle w:val="Tabletext"/>
            </w:pPr>
            <w:r>
              <w:t xml:space="preserve">Follow the principles for the primary outcomes. </w:t>
            </w:r>
          </w:p>
          <w:p w14:paraId="745095C7" w14:textId="77777777" w:rsidR="00AB1A8F" w:rsidRPr="6E7860D2" w:rsidRDefault="00AB1A8F" w:rsidP="00086E20">
            <w:pPr>
              <w:pStyle w:val="Tabletext"/>
              <w:rPr>
                <w:lang w:eastAsia="en-GB"/>
              </w:rPr>
            </w:pPr>
          </w:p>
        </w:tc>
      </w:tr>
      <w:tr w:rsidR="00673E4C" w14:paraId="476B87D9" w14:textId="77777777" w:rsidTr="005213B5">
        <w:trPr>
          <w:trHeight w:val="300"/>
        </w:trPr>
        <w:tc>
          <w:tcPr>
            <w:tcW w:w="6799" w:type="dxa"/>
          </w:tcPr>
          <w:p w14:paraId="61E96CE0" w14:textId="2FFDA00D" w:rsidR="001E3F45" w:rsidRPr="001E3F45" w:rsidRDefault="001E3F45" w:rsidP="00FF1197">
            <w:pPr>
              <w:pStyle w:val="Tabletext"/>
            </w:pPr>
            <w:r w:rsidRPr="001E3F45">
              <w:t>Adverse events including death</w:t>
            </w:r>
            <w:r w:rsidR="005975EC">
              <w:t>.</w:t>
            </w:r>
          </w:p>
          <w:p w14:paraId="68935BCA" w14:textId="27C9B587" w:rsidR="00673E4C" w:rsidRPr="00217A38" w:rsidRDefault="00673E4C" w:rsidP="00FF1197">
            <w:pPr>
              <w:pStyle w:val="Tabletext"/>
            </w:pPr>
          </w:p>
          <w:p w14:paraId="449F6370" w14:textId="77777777" w:rsidR="00673E4C" w:rsidRPr="68E2319D" w:rsidRDefault="00673E4C" w:rsidP="00FF1197">
            <w:pPr>
              <w:pStyle w:val="Tabletext"/>
            </w:pPr>
          </w:p>
        </w:tc>
        <w:tc>
          <w:tcPr>
            <w:tcW w:w="7088" w:type="dxa"/>
          </w:tcPr>
          <w:p w14:paraId="31B6A883" w14:textId="22CB0E92" w:rsidR="00673E4C" w:rsidRPr="6E7860D2" w:rsidRDefault="001E3F45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The equivalent data to that reported in </w:t>
            </w:r>
            <w:r w:rsidR="00C01ABB">
              <w:rPr>
                <w:lang w:eastAsia="en-GB"/>
              </w:rPr>
              <w:t>marketing authorisation</w:t>
            </w:r>
            <w:r>
              <w:rPr>
                <w:lang w:eastAsia="en-GB"/>
              </w:rPr>
              <w:t xml:space="preserve"> documentation is expected</w:t>
            </w:r>
            <w:r w:rsidR="005975EC">
              <w:rPr>
                <w:lang w:eastAsia="en-GB"/>
              </w:rPr>
              <w:t>.</w:t>
            </w:r>
          </w:p>
        </w:tc>
      </w:tr>
      <w:tr w:rsidR="00B26EF8" w14:paraId="202723B8" w14:textId="77777777" w:rsidTr="005213B5">
        <w:trPr>
          <w:trHeight w:val="300"/>
        </w:trPr>
        <w:tc>
          <w:tcPr>
            <w:tcW w:w="6799" w:type="dxa"/>
          </w:tcPr>
          <w:p w14:paraId="26FBA871" w14:textId="5C025D23" w:rsidR="004017F5" w:rsidRPr="00217A38" w:rsidRDefault="004017F5" w:rsidP="00FF1197">
            <w:pPr>
              <w:pStyle w:val="Tabletext"/>
            </w:pPr>
            <w:r w:rsidRPr="00217A38">
              <w:t>Indirect treatment comparison</w:t>
            </w:r>
            <w:r w:rsidR="00CF3E26">
              <w:t>:</w:t>
            </w:r>
          </w:p>
          <w:p w14:paraId="145E8E10" w14:textId="6B0F4477" w:rsidR="00806E11" w:rsidRDefault="11FC514B" w:rsidP="00FF1197">
            <w:pPr>
              <w:pStyle w:val="Tablebullet"/>
            </w:pPr>
            <w:r>
              <w:t>a</w:t>
            </w:r>
            <w:r w:rsidR="00217A38">
              <w:t>n overview of the methodological approach, including any matching of data or adjustments</w:t>
            </w:r>
          </w:p>
          <w:p w14:paraId="177FD4F0" w14:textId="43C28037" w:rsidR="00806E11" w:rsidRDefault="11FC514B" w:rsidP="00FF1197">
            <w:pPr>
              <w:pStyle w:val="Tablebullet"/>
            </w:pPr>
            <w:r>
              <w:lastRenderedPageBreak/>
              <w:t>n</w:t>
            </w:r>
            <w:r w:rsidR="00217A38">
              <w:t xml:space="preserve">umber of patients included in </w:t>
            </w:r>
            <w:proofErr w:type="gramStart"/>
            <w:r w:rsidR="00217A38">
              <w:t>studies</w:t>
            </w:r>
            <w:proofErr w:type="gramEnd"/>
          </w:p>
          <w:p w14:paraId="50D8929D" w14:textId="17BDA8E8" w:rsidR="00806E11" w:rsidRDefault="11FC514B" w:rsidP="00FF1197">
            <w:pPr>
              <w:pStyle w:val="Tablebullet"/>
            </w:pPr>
            <w:r>
              <w:t>p</w:t>
            </w:r>
            <w:r w:rsidR="00217A38">
              <w:t xml:space="preserve">atient characteristics from included </w:t>
            </w:r>
            <w:proofErr w:type="gramStart"/>
            <w:r w:rsidR="00217A38">
              <w:t>studies</w:t>
            </w:r>
            <w:proofErr w:type="gramEnd"/>
          </w:p>
          <w:p w14:paraId="657ED2F0" w14:textId="092B19D5" w:rsidR="00806E11" w:rsidRDefault="11FC514B" w:rsidP="00FF1197">
            <w:pPr>
              <w:pStyle w:val="Tablebullet"/>
            </w:pPr>
            <w:r>
              <w:t>c</w:t>
            </w:r>
            <w:r w:rsidR="00217A38">
              <w:t>ommentary on potential heterogeneity</w:t>
            </w:r>
            <w:r>
              <w:t xml:space="preserve"> or </w:t>
            </w:r>
            <w:r w:rsidR="00217A38">
              <w:t>sources of bias</w:t>
            </w:r>
          </w:p>
          <w:p w14:paraId="396EC079" w14:textId="44B28F46" w:rsidR="004017F5" w:rsidRDefault="11FC514B" w:rsidP="00FF1197">
            <w:pPr>
              <w:pStyle w:val="Tablebullet"/>
            </w:pPr>
            <w:r>
              <w:t>o</w:t>
            </w:r>
            <w:r w:rsidR="00217A38">
              <w:t>utcome</w:t>
            </w:r>
            <w:r w:rsidR="03016A13">
              <w:t>s</w:t>
            </w:r>
            <w:r w:rsidR="00217A38">
              <w:t xml:space="preserve"> (</w:t>
            </w:r>
            <w:r>
              <w:t>for example,</w:t>
            </w:r>
            <w:r w:rsidR="00217A38">
              <w:t xml:space="preserve"> comparative efficacy) with measure of precision such as 95% credible interval, if relevant</w:t>
            </w:r>
            <w:r w:rsidR="03016A13">
              <w:t>.</w:t>
            </w:r>
          </w:p>
          <w:p w14:paraId="14421E78" w14:textId="77777777" w:rsidR="00B26EF8" w:rsidRDefault="00B26EF8" w:rsidP="00086E20">
            <w:pPr>
              <w:pStyle w:val="Paragraph"/>
              <w:rPr>
                <w:lang w:eastAsia="en-GB"/>
              </w:rPr>
            </w:pPr>
          </w:p>
        </w:tc>
        <w:tc>
          <w:tcPr>
            <w:tcW w:w="7088" w:type="dxa"/>
          </w:tcPr>
          <w:p w14:paraId="73B90DAE" w14:textId="5BD4A6FF" w:rsidR="00C727F3" w:rsidRDefault="0034592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All m</w:t>
            </w:r>
            <w:r w:rsidR="1F3DC584" w:rsidRPr="5646B15D">
              <w:rPr>
                <w:lang w:eastAsia="en-GB"/>
              </w:rPr>
              <w:t xml:space="preserve">ethodology </w:t>
            </w:r>
            <w:r>
              <w:rPr>
                <w:lang w:eastAsia="en-GB"/>
              </w:rPr>
              <w:t xml:space="preserve">and critical appraisal </w:t>
            </w:r>
            <w:r w:rsidR="1F3DC584" w:rsidRPr="5646B15D">
              <w:rPr>
                <w:lang w:eastAsia="en-GB"/>
              </w:rPr>
              <w:t xml:space="preserve">should be reported. </w:t>
            </w:r>
          </w:p>
          <w:p w14:paraId="020588AA" w14:textId="77777777" w:rsidR="00CF3E26" w:rsidRDefault="00CF3E26" w:rsidP="00FF1197">
            <w:pPr>
              <w:pStyle w:val="Tabletext"/>
              <w:rPr>
                <w:lang w:eastAsia="en-GB"/>
              </w:rPr>
            </w:pPr>
          </w:p>
          <w:p w14:paraId="3C32D8C8" w14:textId="112F5117" w:rsidR="00806E11" w:rsidRDefault="1F3DC584">
            <w:pPr>
              <w:pStyle w:val="Tabletext"/>
              <w:rPr>
                <w:lang w:eastAsia="en-GB"/>
              </w:rPr>
            </w:pPr>
            <w:r w:rsidRPr="5646B15D">
              <w:rPr>
                <w:lang w:eastAsia="en-GB"/>
              </w:rPr>
              <w:lastRenderedPageBreak/>
              <w:t>If there is a demonstra</w:t>
            </w:r>
            <w:r w:rsidR="00086E20">
              <w:rPr>
                <w:lang w:eastAsia="en-GB"/>
              </w:rPr>
              <w:t>ted</w:t>
            </w:r>
            <w:r w:rsidRPr="5646B15D">
              <w:rPr>
                <w:lang w:eastAsia="en-GB"/>
              </w:rPr>
              <w:t xml:space="preserve"> re</w:t>
            </w:r>
            <w:r w:rsidR="3EEA1F05" w:rsidRPr="5646B15D">
              <w:rPr>
                <w:lang w:eastAsia="en-GB"/>
              </w:rPr>
              <w:t xml:space="preserve">ason why </w:t>
            </w:r>
            <w:r w:rsidR="00806E11">
              <w:rPr>
                <w:lang w:eastAsia="en-GB"/>
              </w:rPr>
              <w:t xml:space="preserve">numerical </w:t>
            </w:r>
            <w:r w:rsidR="3EEA1F05" w:rsidRPr="5646B15D">
              <w:rPr>
                <w:lang w:eastAsia="en-GB"/>
              </w:rPr>
              <w:t>outcomes are confidential then</w:t>
            </w:r>
            <w:r w:rsidR="30EC22A8" w:rsidRPr="5646B15D">
              <w:rPr>
                <w:lang w:eastAsia="en-GB"/>
              </w:rPr>
              <w:t xml:space="preserve"> a</w:t>
            </w:r>
            <w:r w:rsidR="00806E11">
              <w:rPr>
                <w:lang w:eastAsia="en-GB"/>
              </w:rPr>
              <w:t>n accompanying</w:t>
            </w:r>
            <w:r w:rsidR="30EC22A8" w:rsidRPr="5646B15D">
              <w:rPr>
                <w:lang w:eastAsia="en-GB"/>
              </w:rPr>
              <w:t xml:space="preserve"> statement of direction of treatment </w:t>
            </w:r>
            <w:r w:rsidR="587F4B42" w:rsidRPr="5646B15D">
              <w:rPr>
                <w:lang w:eastAsia="en-GB"/>
              </w:rPr>
              <w:t>e</w:t>
            </w:r>
            <w:r w:rsidR="30EC22A8" w:rsidRPr="5646B15D">
              <w:rPr>
                <w:lang w:eastAsia="en-GB"/>
              </w:rPr>
              <w:t>ffect and comment</w:t>
            </w:r>
            <w:r w:rsidR="0086654F">
              <w:rPr>
                <w:lang w:eastAsia="en-GB"/>
              </w:rPr>
              <w:t>ary</w:t>
            </w:r>
            <w:r w:rsidR="30EC22A8" w:rsidRPr="5646B15D">
              <w:rPr>
                <w:lang w:eastAsia="en-GB"/>
              </w:rPr>
              <w:t xml:space="preserve"> on the measure of precision</w:t>
            </w:r>
            <w:r w:rsidR="00806E11">
              <w:rPr>
                <w:lang w:eastAsia="en-GB"/>
              </w:rPr>
              <w:t xml:space="preserve"> should be provided</w:t>
            </w:r>
            <w:r w:rsidR="30EC22A8" w:rsidRPr="5646B15D">
              <w:rPr>
                <w:lang w:eastAsia="en-GB"/>
              </w:rPr>
              <w:t>. For example</w:t>
            </w:r>
            <w:r w:rsidR="00086E20">
              <w:rPr>
                <w:lang w:eastAsia="en-GB"/>
              </w:rPr>
              <w:t>,</w:t>
            </w:r>
            <w:r w:rsidR="30EC22A8" w:rsidRPr="5646B15D">
              <w:rPr>
                <w:lang w:eastAsia="en-GB"/>
              </w:rPr>
              <w:t xml:space="preserve"> the width of the credible intervals and if the credible intervals cross parity</w:t>
            </w:r>
            <w:r w:rsidR="00086E20">
              <w:rPr>
                <w:lang w:eastAsia="en-GB"/>
              </w:rPr>
              <w:t>.</w:t>
            </w:r>
          </w:p>
          <w:p w14:paraId="58675E38" w14:textId="77777777" w:rsidR="00CF3E26" w:rsidRDefault="00CF3E26" w:rsidP="00FF1197">
            <w:pPr>
              <w:pStyle w:val="Tabletext"/>
              <w:rPr>
                <w:lang w:eastAsia="en-GB"/>
              </w:rPr>
            </w:pPr>
          </w:p>
          <w:p w14:paraId="4797A87A" w14:textId="5F469EF8" w:rsidR="00B26EF8" w:rsidRDefault="30EC22A8" w:rsidP="00FF1197">
            <w:pPr>
              <w:pStyle w:val="Tabletext"/>
              <w:rPr>
                <w:lang w:eastAsia="en-GB"/>
              </w:rPr>
            </w:pPr>
            <w:r w:rsidRPr="5646B15D">
              <w:rPr>
                <w:lang w:eastAsia="en-GB"/>
              </w:rPr>
              <w:t xml:space="preserve">For adjusted </w:t>
            </w:r>
            <w:r w:rsidR="6F9107D9" w:rsidRPr="5646B15D">
              <w:rPr>
                <w:lang w:eastAsia="en-GB"/>
              </w:rPr>
              <w:t>outcomes</w:t>
            </w:r>
            <w:r w:rsidR="00086E20">
              <w:rPr>
                <w:lang w:eastAsia="en-GB"/>
              </w:rPr>
              <w:t>,</w:t>
            </w:r>
            <w:r w:rsidR="6F9107D9" w:rsidRPr="5646B15D">
              <w:rPr>
                <w:lang w:eastAsia="en-GB"/>
              </w:rPr>
              <w:t xml:space="preserve"> </w:t>
            </w:r>
            <w:r w:rsidRPr="5646B15D">
              <w:rPr>
                <w:lang w:eastAsia="en-GB"/>
              </w:rPr>
              <w:t>a</w:t>
            </w:r>
            <w:r w:rsidR="00982B5F">
              <w:rPr>
                <w:lang w:eastAsia="en-GB"/>
              </w:rPr>
              <w:t>n accompanying</w:t>
            </w:r>
            <w:r w:rsidRPr="5646B15D">
              <w:rPr>
                <w:lang w:eastAsia="en-GB"/>
              </w:rPr>
              <w:t xml:space="preserve"> description of how these </w:t>
            </w:r>
            <w:r w:rsidR="5A620544" w:rsidRPr="5646B15D">
              <w:rPr>
                <w:lang w:eastAsia="en-GB"/>
              </w:rPr>
              <w:t>outcomes differ from unadjusted outcomes should be provided.</w:t>
            </w:r>
          </w:p>
        </w:tc>
      </w:tr>
      <w:tr w:rsidR="00B26EF8" w14:paraId="200924F7" w14:textId="77777777" w:rsidTr="005213B5">
        <w:trPr>
          <w:trHeight w:val="300"/>
        </w:trPr>
        <w:tc>
          <w:tcPr>
            <w:tcW w:w="6799" w:type="dxa"/>
          </w:tcPr>
          <w:p w14:paraId="28DC645F" w14:textId="4EE2B448" w:rsidR="00217A38" w:rsidRPr="001E3F45" w:rsidRDefault="00217A38" w:rsidP="00FF1197">
            <w:pPr>
              <w:pStyle w:val="Tabletext"/>
            </w:pPr>
            <w:bookmarkStart w:id="10" w:name="_Hlk128470420"/>
            <w:r w:rsidRPr="001E3F45">
              <w:lastRenderedPageBreak/>
              <w:t xml:space="preserve">Utility values </w:t>
            </w:r>
            <w:bookmarkEnd w:id="10"/>
            <w:r w:rsidRPr="001E3F45">
              <w:t>(by health state, intervention utility increments</w:t>
            </w:r>
            <w:r w:rsidR="005938C8">
              <w:t xml:space="preserve"> or </w:t>
            </w:r>
            <w:r w:rsidRPr="001E3F45">
              <w:t>decrements</w:t>
            </w:r>
            <w:r w:rsidR="005938C8">
              <w:t>,</w:t>
            </w:r>
            <w:r w:rsidRPr="001E3F45">
              <w:t xml:space="preserve"> and disutility for adverse events)</w:t>
            </w:r>
            <w:r w:rsidR="27CF56A7" w:rsidRPr="001E3F45">
              <w:t xml:space="preserve"> which are used in the model</w:t>
            </w:r>
            <w:r w:rsidR="009C5D19">
              <w:t>.</w:t>
            </w:r>
          </w:p>
          <w:p w14:paraId="189203B1" w14:textId="77777777" w:rsidR="00B26EF8" w:rsidRDefault="00B26EF8" w:rsidP="00FF1197">
            <w:pPr>
              <w:pStyle w:val="Tabletext"/>
              <w:rPr>
                <w:lang w:eastAsia="en-GB"/>
              </w:rPr>
            </w:pPr>
          </w:p>
        </w:tc>
        <w:tc>
          <w:tcPr>
            <w:tcW w:w="7088" w:type="dxa"/>
          </w:tcPr>
          <w:p w14:paraId="34A45978" w14:textId="3353A23E" w:rsidR="00B26EF8" w:rsidRDefault="27CF56A7" w:rsidP="00FF1197">
            <w:pPr>
              <w:pStyle w:val="Tabletext"/>
              <w:rPr>
                <w:lang w:eastAsia="en-GB"/>
              </w:rPr>
            </w:pPr>
            <w:bookmarkStart w:id="11" w:name="_Hlk128470433"/>
            <w:r w:rsidRPr="6E7860D2">
              <w:rPr>
                <w:lang w:eastAsia="en-GB"/>
              </w:rPr>
              <w:t>Quality of life data collected in the trial may be redactable</w:t>
            </w:r>
            <w:r w:rsidR="00BB3949">
              <w:rPr>
                <w:lang w:eastAsia="en-GB"/>
              </w:rPr>
              <w:t>.</w:t>
            </w:r>
            <w:r w:rsidRPr="6E7860D2">
              <w:rPr>
                <w:lang w:eastAsia="en-GB"/>
              </w:rPr>
              <w:t xml:space="preserve"> </w:t>
            </w:r>
            <w:r w:rsidR="00BB3949">
              <w:rPr>
                <w:lang w:eastAsia="en-GB"/>
              </w:rPr>
              <w:t>U</w:t>
            </w:r>
            <w:r w:rsidR="009C5D19">
              <w:rPr>
                <w:lang w:eastAsia="en-GB"/>
              </w:rPr>
              <w:t>K-specific u</w:t>
            </w:r>
            <w:r w:rsidRPr="6E7860D2">
              <w:rPr>
                <w:lang w:eastAsia="en-GB"/>
              </w:rPr>
              <w:t xml:space="preserve">tility values </w:t>
            </w:r>
            <w:r w:rsidR="009C5D19">
              <w:rPr>
                <w:lang w:eastAsia="en-GB"/>
              </w:rPr>
              <w:t>(have used UK tariffs) that</w:t>
            </w:r>
            <w:r w:rsidR="009C5D19" w:rsidRPr="6E7860D2">
              <w:rPr>
                <w:lang w:eastAsia="en-GB"/>
              </w:rPr>
              <w:t xml:space="preserve"> </w:t>
            </w:r>
            <w:r w:rsidRPr="6E7860D2">
              <w:rPr>
                <w:lang w:eastAsia="en-GB"/>
              </w:rPr>
              <w:t xml:space="preserve">are used in the model </w:t>
            </w:r>
            <w:r w:rsidR="31621BB0" w:rsidRPr="6E7860D2">
              <w:rPr>
                <w:lang w:eastAsia="en-GB"/>
              </w:rPr>
              <w:t>c</w:t>
            </w:r>
            <w:r w:rsidR="0721C940" w:rsidRPr="6E7860D2">
              <w:rPr>
                <w:lang w:eastAsia="en-GB"/>
              </w:rPr>
              <w:t>annot</w:t>
            </w:r>
            <w:r w:rsidR="00665713" w:rsidRPr="6E7860D2">
              <w:rPr>
                <w:lang w:eastAsia="en-GB"/>
              </w:rPr>
              <w:t xml:space="preserve"> be redacted</w:t>
            </w:r>
            <w:r w:rsidR="00C727F3">
              <w:rPr>
                <w:lang w:eastAsia="en-GB"/>
              </w:rPr>
              <w:t xml:space="preserve">. </w:t>
            </w:r>
            <w:bookmarkEnd w:id="11"/>
          </w:p>
        </w:tc>
      </w:tr>
      <w:tr w:rsidR="00B26EF8" w14:paraId="5C3BE8F7" w14:textId="77777777" w:rsidTr="005213B5">
        <w:trPr>
          <w:trHeight w:val="300"/>
        </w:trPr>
        <w:tc>
          <w:tcPr>
            <w:tcW w:w="6799" w:type="dxa"/>
          </w:tcPr>
          <w:p w14:paraId="702B76B0" w14:textId="4427DBB6" w:rsidR="00217A38" w:rsidRPr="001E3F45" w:rsidRDefault="00217A38" w:rsidP="00FF1197">
            <w:pPr>
              <w:pStyle w:val="Tabletext"/>
            </w:pPr>
            <w:r w:rsidRPr="001E3F45">
              <w:t>Severity estimates</w:t>
            </w:r>
            <w:r w:rsidR="00BA3459">
              <w:t>:</w:t>
            </w:r>
          </w:p>
          <w:p w14:paraId="4E752124" w14:textId="5C913188" w:rsidR="00217A38" w:rsidRPr="00217A38" w:rsidRDefault="11FC514B" w:rsidP="00FF1197">
            <w:pPr>
              <w:pStyle w:val="Tablebullet"/>
            </w:pPr>
            <w:r>
              <w:t>a</w:t>
            </w:r>
            <w:r w:rsidR="00217A38">
              <w:t xml:space="preserve">bsolute </w:t>
            </w:r>
            <w:r w:rsidR="03016A13">
              <w:t>quality-adjusted life-year (</w:t>
            </w:r>
            <w:r w:rsidR="00665713">
              <w:t>QALY</w:t>
            </w:r>
            <w:r w:rsidR="03016A13">
              <w:t>)</w:t>
            </w:r>
            <w:r w:rsidR="00665713">
              <w:t xml:space="preserve"> </w:t>
            </w:r>
            <w:r w:rsidR="00217A38">
              <w:t xml:space="preserve">shortfall and estimates of total QALYs underpinning this </w:t>
            </w:r>
            <w:proofErr w:type="gramStart"/>
            <w:r w:rsidR="00217A38">
              <w:t>estimate</w:t>
            </w:r>
            <w:proofErr w:type="gramEnd"/>
          </w:p>
          <w:p w14:paraId="7E854ECC" w14:textId="492623D2" w:rsidR="00217A38" w:rsidRPr="00217A38" w:rsidRDefault="11FC514B" w:rsidP="00FF1197">
            <w:pPr>
              <w:pStyle w:val="Tablebullet"/>
            </w:pPr>
            <w:r>
              <w:t>p</w:t>
            </w:r>
            <w:r w:rsidR="00217A38">
              <w:t xml:space="preserve">roportional </w:t>
            </w:r>
            <w:r w:rsidR="00665713">
              <w:t xml:space="preserve">QALY </w:t>
            </w:r>
            <w:r w:rsidR="00217A38">
              <w:t>shortfall and estimates of total QALYs underpinning this estimate</w:t>
            </w:r>
            <w:r w:rsidR="00BA3459">
              <w:t>.</w:t>
            </w:r>
          </w:p>
          <w:p w14:paraId="19DBDF71" w14:textId="77777777" w:rsidR="00B26EF8" w:rsidRDefault="00B26EF8" w:rsidP="00FF1197">
            <w:pPr>
              <w:pStyle w:val="Tabletext"/>
              <w:rPr>
                <w:lang w:eastAsia="en-GB"/>
              </w:rPr>
            </w:pPr>
          </w:p>
        </w:tc>
        <w:tc>
          <w:tcPr>
            <w:tcW w:w="7088" w:type="dxa"/>
          </w:tcPr>
          <w:p w14:paraId="23179F03" w14:textId="21CF1F1C" w:rsidR="00B26EF8" w:rsidRDefault="009C5D19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These c</w:t>
            </w:r>
            <w:r w:rsidR="00665713">
              <w:rPr>
                <w:lang w:eastAsia="en-GB"/>
              </w:rPr>
              <w:t xml:space="preserve">annot be redacted </w:t>
            </w:r>
            <w:r>
              <w:rPr>
                <w:lang w:eastAsia="en-GB"/>
              </w:rPr>
              <w:t>b</w:t>
            </w:r>
            <w:r w:rsidR="00BB3949">
              <w:rPr>
                <w:lang w:eastAsia="en-GB"/>
              </w:rPr>
              <w:t xml:space="preserve">ecause </w:t>
            </w:r>
            <w:r w:rsidR="00665713">
              <w:rPr>
                <w:lang w:eastAsia="en-GB"/>
              </w:rPr>
              <w:t>the</w:t>
            </w:r>
            <w:r>
              <w:rPr>
                <w:lang w:eastAsia="en-GB"/>
              </w:rPr>
              <w:t>y</w:t>
            </w:r>
            <w:r w:rsidR="00665713">
              <w:rPr>
                <w:lang w:eastAsia="en-GB"/>
              </w:rPr>
              <w:t xml:space="preserve"> inform the application of a QALY modifier </w:t>
            </w:r>
            <w:r>
              <w:rPr>
                <w:lang w:eastAsia="en-GB"/>
              </w:rPr>
              <w:t>and</w:t>
            </w:r>
            <w:r w:rsidR="00665713">
              <w:rPr>
                <w:lang w:eastAsia="en-GB"/>
              </w:rPr>
              <w:t xml:space="preserve"> are fundamental to committee decision making</w:t>
            </w:r>
            <w:r>
              <w:rPr>
                <w:lang w:eastAsia="en-GB"/>
              </w:rPr>
              <w:t>.</w:t>
            </w:r>
          </w:p>
        </w:tc>
      </w:tr>
      <w:tr w:rsidR="00665713" w14:paraId="4532B98F" w14:textId="77777777" w:rsidTr="005213B5">
        <w:trPr>
          <w:trHeight w:val="300"/>
        </w:trPr>
        <w:tc>
          <w:tcPr>
            <w:tcW w:w="6799" w:type="dxa"/>
          </w:tcPr>
          <w:p w14:paraId="34DCFC22" w14:textId="5376665D" w:rsidR="00665713" w:rsidRPr="00217A38" w:rsidRDefault="00665713" w:rsidP="00FF1197">
            <w:pPr>
              <w:pStyle w:val="Tabletext"/>
            </w:pPr>
            <w:r w:rsidRPr="001E3F45">
              <w:t>Undiscounted incremental QALYs</w:t>
            </w:r>
            <w:r>
              <w:t xml:space="preserve"> (</w:t>
            </w:r>
            <w:r w:rsidR="00AB1A8F">
              <w:t xml:space="preserve">for </w:t>
            </w:r>
            <w:r w:rsidR="009C5D19">
              <w:t>highly specialised technologies</w:t>
            </w:r>
            <w:r>
              <w:t>)</w:t>
            </w:r>
            <w:r w:rsidR="00F31BDE">
              <w:t>.</w:t>
            </w:r>
          </w:p>
        </w:tc>
        <w:tc>
          <w:tcPr>
            <w:tcW w:w="7088" w:type="dxa"/>
          </w:tcPr>
          <w:p w14:paraId="1CC17859" w14:textId="0D46D899" w:rsidR="00665713" w:rsidRDefault="009C5D19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These c</w:t>
            </w:r>
            <w:r w:rsidR="00665713">
              <w:rPr>
                <w:lang w:eastAsia="en-GB"/>
              </w:rPr>
              <w:t xml:space="preserve">annot be redacted </w:t>
            </w:r>
            <w:r>
              <w:rPr>
                <w:lang w:eastAsia="en-GB"/>
              </w:rPr>
              <w:t>b</w:t>
            </w:r>
            <w:r w:rsidR="00BB3949">
              <w:rPr>
                <w:lang w:eastAsia="en-GB"/>
              </w:rPr>
              <w:t>ecause</w:t>
            </w:r>
            <w:r w:rsidR="00665713">
              <w:rPr>
                <w:lang w:eastAsia="en-GB"/>
              </w:rPr>
              <w:t xml:space="preserve"> the</w:t>
            </w:r>
            <w:r>
              <w:rPr>
                <w:lang w:eastAsia="en-GB"/>
              </w:rPr>
              <w:t>y</w:t>
            </w:r>
            <w:r w:rsidR="00665713">
              <w:rPr>
                <w:lang w:eastAsia="en-GB"/>
              </w:rPr>
              <w:t xml:space="preserve"> inform the application of a QALY modifier </w:t>
            </w:r>
            <w:r>
              <w:rPr>
                <w:lang w:eastAsia="en-GB"/>
              </w:rPr>
              <w:t>and</w:t>
            </w:r>
            <w:r w:rsidR="00665713">
              <w:rPr>
                <w:lang w:eastAsia="en-GB"/>
              </w:rPr>
              <w:t xml:space="preserve"> are fundamental to committee decision making</w:t>
            </w:r>
            <w:r w:rsidR="00326FAD">
              <w:rPr>
                <w:lang w:eastAsia="en-GB"/>
              </w:rPr>
              <w:t xml:space="preserve">. </w:t>
            </w:r>
          </w:p>
        </w:tc>
      </w:tr>
      <w:tr w:rsidR="00B26EF8" w14:paraId="25F291D0" w14:textId="77777777" w:rsidTr="005213B5">
        <w:trPr>
          <w:trHeight w:val="300"/>
        </w:trPr>
        <w:tc>
          <w:tcPr>
            <w:tcW w:w="6799" w:type="dxa"/>
          </w:tcPr>
          <w:p w14:paraId="01653263" w14:textId="783CF271" w:rsidR="008554AC" w:rsidRDefault="008554AC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I</w:t>
            </w:r>
            <w:r w:rsidR="009C5D19">
              <w:rPr>
                <w:lang w:eastAsia="en-GB"/>
              </w:rPr>
              <w:t>ncremental cost-effectiveness ratios (I</w:t>
            </w:r>
            <w:r>
              <w:rPr>
                <w:lang w:eastAsia="en-GB"/>
              </w:rPr>
              <w:t>CERs</w:t>
            </w:r>
            <w:r w:rsidR="009C5D19">
              <w:rPr>
                <w:lang w:eastAsia="en-GB"/>
              </w:rPr>
              <w:t>)</w:t>
            </w:r>
            <w:r w:rsidR="00F31BDE">
              <w:rPr>
                <w:lang w:eastAsia="en-GB"/>
              </w:rPr>
              <w:t>.</w:t>
            </w:r>
          </w:p>
        </w:tc>
        <w:tc>
          <w:tcPr>
            <w:tcW w:w="7088" w:type="dxa"/>
          </w:tcPr>
          <w:p w14:paraId="4A71B12D" w14:textId="08177AA7" w:rsidR="00B26EF8" w:rsidRDefault="00326FAD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ICERs </w:t>
            </w:r>
            <w:r w:rsidR="001E3F45">
              <w:rPr>
                <w:lang w:eastAsia="en-GB"/>
              </w:rPr>
              <w:t>may be marked as confidential if</w:t>
            </w:r>
            <w:r w:rsidR="0034592F">
              <w:rPr>
                <w:lang w:eastAsia="en-GB"/>
              </w:rPr>
              <w:t>:</w:t>
            </w:r>
          </w:p>
          <w:p w14:paraId="1903BB24" w14:textId="2B15E503" w:rsidR="00326FAD" w:rsidRDefault="59D736ED" w:rsidP="00FF1197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t>t</w:t>
            </w:r>
            <w:r w:rsidR="1D92B3DE" w:rsidRPr="61642BD2">
              <w:rPr>
                <w:lang w:eastAsia="en-GB"/>
              </w:rPr>
              <w:t xml:space="preserve">here </w:t>
            </w:r>
            <w:r w:rsidR="03016A13" w:rsidRPr="61642BD2">
              <w:rPr>
                <w:lang w:eastAsia="en-GB"/>
              </w:rPr>
              <w:t xml:space="preserve">is </w:t>
            </w:r>
            <w:r w:rsidR="1D92B3DE" w:rsidRPr="61642BD2">
              <w:rPr>
                <w:lang w:eastAsia="en-GB"/>
              </w:rPr>
              <w:t xml:space="preserve">a comparator </w:t>
            </w:r>
            <w:r w:rsidR="03016A13" w:rsidRPr="61642BD2">
              <w:rPr>
                <w:lang w:eastAsia="en-GB"/>
              </w:rPr>
              <w:t>patient access scheme (</w:t>
            </w:r>
            <w:r w:rsidR="1D92B3DE" w:rsidRPr="61642BD2">
              <w:rPr>
                <w:lang w:eastAsia="en-GB"/>
              </w:rPr>
              <w:t>PAS</w:t>
            </w:r>
            <w:r w:rsidR="03016A13" w:rsidRPr="61642BD2">
              <w:rPr>
                <w:lang w:eastAsia="en-GB"/>
              </w:rPr>
              <w:t>),</w:t>
            </w:r>
            <w:r w:rsidR="1D92B3DE" w:rsidRPr="61642BD2">
              <w:rPr>
                <w:lang w:eastAsia="en-GB"/>
              </w:rPr>
              <w:t xml:space="preserve"> in which case the ICER (with comparator list prices) is not the decision</w:t>
            </w:r>
            <w:r w:rsidR="03016A13" w:rsidRPr="61642BD2">
              <w:rPr>
                <w:lang w:eastAsia="en-GB"/>
              </w:rPr>
              <w:t>-</w:t>
            </w:r>
            <w:r w:rsidR="1D92B3DE" w:rsidRPr="61642BD2">
              <w:rPr>
                <w:lang w:eastAsia="en-GB"/>
              </w:rPr>
              <w:t xml:space="preserve">making ICER and will not be presented publicly in committee </w:t>
            </w:r>
            <w:proofErr w:type="gramStart"/>
            <w:r w:rsidR="1D92B3DE" w:rsidRPr="61642BD2">
              <w:rPr>
                <w:lang w:eastAsia="en-GB"/>
              </w:rPr>
              <w:t>meetings</w:t>
            </w:r>
            <w:proofErr w:type="gramEnd"/>
          </w:p>
          <w:p w14:paraId="7FE7314C" w14:textId="7AAF3A66" w:rsidR="00326FAD" w:rsidRDefault="03016A13" w:rsidP="00FF1197">
            <w:pPr>
              <w:pStyle w:val="Tablebullet"/>
              <w:rPr>
                <w:lang w:eastAsia="en-GB"/>
              </w:rPr>
            </w:pPr>
            <w:bookmarkStart w:id="12" w:name="_Hlk129161121"/>
            <w:r w:rsidRPr="61642BD2">
              <w:rPr>
                <w:lang w:eastAsia="en-GB"/>
              </w:rPr>
              <w:t>i</w:t>
            </w:r>
            <w:r w:rsidR="1D92B3DE" w:rsidRPr="61642BD2">
              <w:rPr>
                <w:lang w:eastAsia="en-GB"/>
              </w:rPr>
              <w:t>t is anticipated that there will be a new or increase</w:t>
            </w:r>
            <w:r w:rsidR="4DBDB7C9" w:rsidRPr="61642BD2">
              <w:rPr>
                <w:lang w:eastAsia="en-GB"/>
              </w:rPr>
              <w:t>d</w:t>
            </w:r>
            <w:r w:rsidR="1D92B3DE" w:rsidRPr="61642BD2">
              <w:rPr>
                <w:lang w:eastAsia="en-GB"/>
              </w:rPr>
              <w:t xml:space="preserve"> company PAS over the course of an evaluation and publishing the pre- and post-PAS amendment would allow back</w:t>
            </w:r>
            <w:r w:rsidRPr="61642BD2">
              <w:rPr>
                <w:lang w:eastAsia="en-GB"/>
              </w:rPr>
              <w:t>-</w:t>
            </w:r>
            <w:r w:rsidR="1D92B3DE" w:rsidRPr="61642BD2">
              <w:rPr>
                <w:lang w:eastAsia="en-GB"/>
              </w:rPr>
              <w:t>calculation of the PAS</w:t>
            </w:r>
            <w:r w:rsidRPr="61642BD2">
              <w:rPr>
                <w:lang w:eastAsia="en-GB"/>
              </w:rPr>
              <w:t>.</w:t>
            </w:r>
          </w:p>
          <w:p w14:paraId="1682D706" w14:textId="2F60587C" w:rsidR="00806E11" w:rsidRDefault="03016A13">
            <w:pPr>
              <w:pStyle w:val="Tablebullet"/>
              <w:rPr>
                <w:lang w:eastAsia="en-GB"/>
              </w:rPr>
            </w:pPr>
            <w:r w:rsidRPr="61642BD2">
              <w:rPr>
                <w:lang w:eastAsia="en-GB"/>
              </w:rPr>
              <w:lastRenderedPageBreak/>
              <w:t>r</w:t>
            </w:r>
            <w:r w:rsidR="031CC700" w:rsidRPr="61642BD2">
              <w:rPr>
                <w:lang w:eastAsia="en-GB"/>
              </w:rPr>
              <w:t>edacting ICERs allows other numerical data which is fundamental to committee decision making to not be marked as confidential.</w:t>
            </w:r>
          </w:p>
          <w:p w14:paraId="045D9DF9" w14:textId="75DBE604" w:rsidR="61642BD2" w:rsidRDefault="61642BD2" w:rsidP="61642BD2">
            <w:pPr>
              <w:pStyle w:val="Tablebullet"/>
              <w:numPr>
                <w:ilvl w:val="0"/>
                <w:numId w:val="0"/>
              </w:numPr>
              <w:rPr>
                <w:lang w:eastAsia="en-GB"/>
              </w:rPr>
            </w:pPr>
          </w:p>
          <w:p w14:paraId="09D07078" w14:textId="1B4CE58F" w:rsidR="009C5D19" w:rsidRDefault="12E7A4A0" w:rsidP="00FF1197">
            <w:pPr>
              <w:pStyle w:val="Tablebullet"/>
              <w:numPr>
                <w:ilvl w:val="0"/>
                <w:numId w:val="0"/>
              </w:numPr>
              <w:rPr>
                <w:lang w:eastAsia="en-GB"/>
              </w:rPr>
            </w:pPr>
            <w:r w:rsidRPr="61642BD2">
              <w:rPr>
                <w:lang w:eastAsia="en-GB"/>
              </w:rPr>
              <w:t>If ICERs are redacted incremental QALYs should be unredacted.</w:t>
            </w:r>
          </w:p>
          <w:bookmarkEnd w:id="12"/>
          <w:p w14:paraId="09DD344D" w14:textId="5382A143" w:rsidR="61642BD2" w:rsidRDefault="61642BD2" w:rsidP="61642BD2">
            <w:pPr>
              <w:pStyle w:val="Tablebullet"/>
              <w:numPr>
                <w:ilvl w:val="0"/>
                <w:numId w:val="0"/>
              </w:numPr>
              <w:rPr>
                <w:lang w:eastAsia="en-GB"/>
              </w:rPr>
            </w:pPr>
          </w:p>
          <w:p w14:paraId="224AAD99" w14:textId="1BF25F7C" w:rsidR="00326FAD" w:rsidRDefault="00806E11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Please note NICE documentation</w:t>
            </w:r>
            <w:r w:rsidR="00086E20">
              <w:rPr>
                <w:lang w:eastAsia="en-GB"/>
              </w:rPr>
              <w:t xml:space="preserve"> will include</w:t>
            </w:r>
            <w:r>
              <w:rPr>
                <w:lang w:eastAsia="en-GB"/>
              </w:rPr>
              <w:t xml:space="preserve"> a statement </w:t>
            </w:r>
            <w:r w:rsidR="00086E20">
              <w:rPr>
                <w:lang w:eastAsia="en-GB"/>
              </w:rPr>
              <w:t>about</w:t>
            </w:r>
            <w:r>
              <w:rPr>
                <w:lang w:eastAsia="en-GB"/>
              </w:rPr>
              <w:t xml:space="preserve"> whether the ICER is above or below a decision</w:t>
            </w:r>
            <w:r w:rsidR="0034592F">
              <w:rPr>
                <w:lang w:eastAsia="en-GB"/>
              </w:rPr>
              <w:t>-</w:t>
            </w:r>
            <w:r>
              <w:rPr>
                <w:lang w:eastAsia="en-GB"/>
              </w:rPr>
              <w:t>making threshold.</w:t>
            </w:r>
          </w:p>
        </w:tc>
      </w:tr>
      <w:tr w:rsidR="001E3F45" w14:paraId="38479FA0" w14:textId="77777777" w:rsidTr="005213B5">
        <w:trPr>
          <w:trHeight w:val="300"/>
        </w:trPr>
        <w:tc>
          <w:tcPr>
            <w:tcW w:w="6799" w:type="dxa"/>
          </w:tcPr>
          <w:p w14:paraId="40C5AD3A" w14:textId="4F47FC42" w:rsidR="00806E11" w:rsidRPr="001E3F45" w:rsidRDefault="00806E11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Net </w:t>
            </w:r>
            <w:r w:rsidR="00BB3949">
              <w:rPr>
                <w:lang w:eastAsia="en-GB"/>
              </w:rPr>
              <w:t>h</w:t>
            </w:r>
            <w:r>
              <w:rPr>
                <w:lang w:eastAsia="en-GB"/>
              </w:rPr>
              <w:t xml:space="preserve">ealth </w:t>
            </w:r>
            <w:r w:rsidR="00BB3949">
              <w:rPr>
                <w:lang w:eastAsia="en-GB"/>
              </w:rPr>
              <w:t>b</w:t>
            </w:r>
            <w:r>
              <w:rPr>
                <w:lang w:eastAsia="en-GB"/>
              </w:rPr>
              <w:t>enefit</w:t>
            </w:r>
            <w:r w:rsidR="00F31BDE">
              <w:rPr>
                <w:lang w:eastAsia="en-GB"/>
              </w:rPr>
              <w:t>.</w:t>
            </w:r>
          </w:p>
          <w:p w14:paraId="529E2BB9" w14:textId="77777777" w:rsidR="001E3F45" w:rsidRPr="001E3F45" w:rsidRDefault="001E3F45" w:rsidP="00086E20">
            <w:pPr>
              <w:pStyle w:val="Paragraph"/>
              <w:rPr>
                <w:b/>
                <w:bCs/>
                <w:lang w:eastAsia="en-GB"/>
              </w:rPr>
            </w:pPr>
          </w:p>
        </w:tc>
        <w:tc>
          <w:tcPr>
            <w:tcW w:w="7088" w:type="dxa"/>
          </w:tcPr>
          <w:p w14:paraId="3251560C" w14:textId="1BBE7B2A" w:rsidR="00806E11" w:rsidRDefault="00806E11" w:rsidP="00FF1197">
            <w:pPr>
              <w:pStyle w:val="Tabletext"/>
              <w:rPr>
                <w:lang w:eastAsia="en-GB"/>
              </w:rPr>
            </w:pPr>
            <w:r w:rsidRPr="5646B15D">
              <w:rPr>
                <w:lang w:eastAsia="en-GB"/>
              </w:rPr>
              <w:t xml:space="preserve">If </w:t>
            </w:r>
            <w:r>
              <w:rPr>
                <w:lang w:eastAsia="en-GB"/>
              </w:rPr>
              <w:t>showing</w:t>
            </w:r>
            <w:r w:rsidRPr="5646B15D">
              <w:rPr>
                <w:lang w:eastAsia="en-GB"/>
              </w:rPr>
              <w:t xml:space="preserve"> a net health benefit would allow back</w:t>
            </w:r>
            <w:r w:rsidR="00AB1A8F">
              <w:rPr>
                <w:lang w:eastAsia="en-GB"/>
              </w:rPr>
              <w:t>-</w:t>
            </w:r>
            <w:r w:rsidRPr="5646B15D">
              <w:rPr>
                <w:lang w:eastAsia="en-GB"/>
              </w:rPr>
              <w:t xml:space="preserve">calculation of a </w:t>
            </w:r>
            <w:r>
              <w:rPr>
                <w:lang w:eastAsia="en-GB"/>
              </w:rPr>
              <w:t>PAS</w:t>
            </w:r>
            <w:r w:rsidRPr="5646B15D">
              <w:rPr>
                <w:lang w:eastAsia="en-GB"/>
              </w:rPr>
              <w:t xml:space="preserve"> then</w:t>
            </w:r>
            <w:r w:rsidR="009C5D19">
              <w:rPr>
                <w:lang w:eastAsia="en-GB"/>
              </w:rPr>
              <w:t>,</w:t>
            </w:r>
            <w:r w:rsidRPr="5646B15D">
              <w:rPr>
                <w:lang w:eastAsia="en-GB"/>
              </w:rPr>
              <w:t xml:space="preserve"> as a minimum</w:t>
            </w:r>
            <w:r w:rsidR="009C5D19">
              <w:rPr>
                <w:lang w:eastAsia="en-GB"/>
              </w:rPr>
              <w:t>,</w:t>
            </w:r>
            <w:r w:rsidRPr="5646B15D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an accompanying statement on </w:t>
            </w:r>
            <w:r w:rsidRPr="5646B15D">
              <w:rPr>
                <w:lang w:eastAsia="en-GB"/>
              </w:rPr>
              <w:t xml:space="preserve">whether the </w:t>
            </w:r>
            <w:r w:rsidR="009C5D19">
              <w:rPr>
                <w:lang w:eastAsia="en-GB"/>
              </w:rPr>
              <w:t>net health benefit</w:t>
            </w:r>
            <w:r w:rsidR="009C5D19" w:rsidRPr="5646B15D">
              <w:rPr>
                <w:lang w:eastAsia="en-GB"/>
              </w:rPr>
              <w:t xml:space="preserve"> </w:t>
            </w:r>
            <w:r w:rsidRPr="5646B15D">
              <w:rPr>
                <w:lang w:eastAsia="en-GB"/>
              </w:rPr>
              <w:t>is positive or negative should be reported.</w:t>
            </w:r>
          </w:p>
          <w:p w14:paraId="190036EB" w14:textId="77777777" w:rsidR="001E3F45" w:rsidRDefault="001E3F45" w:rsidP="00086E20">
            <w:pPr>
              <w:pStyle w:val="Paragraph"/>
              <w:rPr>
                <w:lang w:eastAsia="en-GB"/>
              </w:rPr>
            </w:pPr>
          </w:p>
        </w:tc>
      </w:tr>
      <w:tr w:rsidR="001E3F45" w14:paraId="250D822E" w14:textId="77777777" w:rsidTr="005213B5">
        <w:trPr>
          <w:trHeight w:val="300"/>
        </w:trPr>
        <w:tc>
          <w:tcPr>
            <w:tcW w:w="6799" w:type="dxa"/>
          </w:tcPr>
          <w:p w14:paraId="23FC109D" w14:textId="46ACF815" w:rsidR="001E3F45" w:rsidRPr="001E3F45" w:rsidRDefault="00806E11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Incremental costs (in cost</w:t>
            </w:r>
            <w:r w:rsidR="00AB1A8F">
              <w:rPr>
                <w:lang w:eastAsia="en-GB"/>
              </w:rPr>
              <w:t>-</w:t>
            </w:r>
            <w:r>
              <w:rPr>
                <w:lang w:eastAsia="en-GB"/>
              </w:rPr>
              <w:t>comparison analyses)</w:t>
            </w:r>
            <w:r w:rsidR="00F31BDE">
              <w:rPr>
                <w:lang w:eastAsia="en-GB"/>
              </w:rPr>
              <w:t>.</w:t>
            </w:r>
          </w:p>
        </w:tc>
        <w:tc>
          <w:tcPr>
            <w:tcW w:w="7088" w:type="dxa"/>
          </w:tcPr>
          <w:p w14:paraId="1816281C" w14:textId="3CD97F77" w:rsidR="001E3F45" w:rsidRDefault="00806E11" w:rsidP="00FF119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In cost comparisons the incremental costs may be redacted if </w:t>
            </w:r>
            <w:r w:rsidR="00A8477F">
              <w:rPr>
                <w:lang w:eastAsia="en-GB"/>
              </w:rPr>
              <w:t>reporting them</w:t>
            </w:r>
            <w:r>
              <w:rPr>
                <w:lang w:eastAsia="en-GB"/>
              </w:rPr>
              <w:t xml:space="preserve"> </w:t>
            </w:r>
            <w:r w:rsidR="00A8477F">
              <w:rPr>
                <w:lang w:eastAsia="en-GB"/>
              </w:rPr>
              <w:t xml:space="preserve">would </w:t>
            </w:r>
            <w:r>
              <w:rPr>
                <w:lang w:eastAsia="en-GB"/>
              </w:rPr>
              <w:t>allow back</w:t>
            </w:r>
            <w:r w:rsidR="000D34BD">
              <w:rPr>
                <w:lang w:eastAsia="en-GB"/>
              </w:rPr>
              <w:t>-</w:t>
            </w:r>
            <w:r>
              <w:rPr>
                <w:lang w:eastAsia="en-GB"/>
              </w:rPr>
              <w:t xml:space="preserve">calculation of a </w:t>
            </w:r>
            <w:r w:rsidR="009C5D19">
              <w:rPr>
                <w:lang w:eastAsia="en-GB"/>
              </w:rPr>
              <w:t>PAS</w:t>
            </w:r>
            <w:r>
              <w:rPr>
                <w:lang w:eastAsia="en-GB"/>
              </w:rPr>
              <w:t>. An accompanying statement about whether the analyses show that the new technology is cost-saving or cost-incurring compared with its comparator should be provided.</w:t>
            </w:r>
          </w:p>
        </w:tc>
      </w:tr>
    </w:tbl>
    <w:p w14:paraId="5E22E62B" w14:textId="669B4E5B" w:rsidR="00454455" w:rsidRPr="00B2625D" w:rsidRDefault="00454455" w:rsidP="00B2625D">
      <w:pPr>
        <w:pStyle w:val="Paragraph"/>
        <w:rPr>
          <w:lang w:eastAsia="en-GB"/>
        </w:rPr>
      </w:pPr>
    </w:p>
    <w:sectPr w:rsidR="00454455" w:rsidRPr="00B2625D" w:rsidSect="005213B5"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CF9D" w14:textId="77777777" w:rsidR="008A6E62" w:rsidRDefault="008A6E62" w:rsidP="00446BEE">
      <w:r>
        <w:separator/>
      </w:r>
    </w:p>
  </w:endnote>
  <w:endnote w:type="continuationSeparator" w:id="0">
    <w:p w14:paraId="60C10936" w14:textId="77777777" w:rsidR="008A6E62" w:rsidRDefault="008A6E62" w:rsidP="00446BEE">
      <w:r>
        <w:continuationSeparator/>
      </w:r>
    </w:p>
  </w:endnote>
  <w:endnote w:type="continuationNotice" w:id="1">
    <w:p w14:paraId="44BF9E1C" w14:textId="77777777" w:rsidR="008A6E62" w:rsidRDefault="008A6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FF77" w14:textId="015CCBFF" w:rsidR="00446BEE" w:rsidRDefault="00A55C05">
    <w:pPr>
      <w:pStyle w:val="Footer"/>
    </w:pPr>
    <w:r w:rsidRPr="00FF1197">
      <w:rPr>
        <w:sz w:val="20"/>
        <w:szCs w:val="20"/>
      </w:rPr>
      <w:t>Principles for marking and redacting confidential information in technology appraisals and highly specialised technolog</w:t>
    </w:r>
    <w:r w:rsidR="00BC1A4F">
      <w:rPr>
        <w:sz w:val="20"/>
        <w:szCs w:val="20"/>
      </w:rPr>
      <w:t>ies</w:t>
    </w:r>
    <w:r w:rsidRPr="00FF1197">
      <w:rPr>
        <w:sz w:val="20"/>
        <w:szCs w:val="20"/>
      </w:rPr>
      <w:t xml:space="preserve"> evaluation</w:t>
    </w:r>
    <w:r w:rsidR="00446BEE" w:rsidRPr="00FF1197">
      <w:rPr>
        <w:sz w:val="20"/>
        <w:szCs w:val="20"/>
      </w:rPr>
      <w:tab/>
    </w:r>
    <w:r w:rsidR="00446BEE" w:rsidRPr="00FF1197">
      <w:rPr>
        <w:sz w:val="20"/>
        <w:szCs w:val="20"/>
      </w:rPr>
      <w:tab/>
    </w:r>
    <w:r w:rsidR="000A6B88">
      <w:rPr>
        <w:sz w:val="20"/>
        <w:szCs w:val="20"/>
      </w:rPr>
      <w:t xml:space="preserve">Page </w:t>
    </w:r>
    <w:r w:rsidR="00446BEE" w:rsidRPr="00FF1197">
      <w:rPr>
        <w:color w:val="2B579A"/>
        <w:sz w:val="20"/>
        <w:szCs w:val="20"/>
        <w:shd w:val="clear" w:color="auto" w:fill="E6E6E6"/>
      </w:rPr>
      <w:fldChar w:fldCharType="begin"/>
    </w:r>
    <w:r w:rsidR="00446BEE" w:rsidRPr="00FF1197">
      <w:rPr>
        <w:sz w:val="20"/>
        <w:szCs w:val="20"/>
      </w:rPr>
      <w:instrText xml:space="preserve"> PAGE </w:instrText>
    </w:r>
    <w:r w:rsidR="00446BEE" w:rsidRPr="00FF1197">
      <w:rPr>
        <w:color w:val="2B579A"/>
        <w:sz w:val="20"/>
        <w:szCs w:val="20"/>
        <w:shd w:val="clear" w:color="auto" w:fill="E6E6E6"/>
      </w:rPr>
      <w:fldChar w:fldCharType="separate"/>
    </w:r>
    <w:r w:rsidR="00FA2C5A" w:rsidRPr="00FF1197">
      <w:rPr>
        <w:noProof/>
        <w:sz w:val="20"/>
        <w:szCs w:val="20"/>
      </w:rPr>
      <w:t>1</w:t>
    </w:r>
    <w:r w:rsidR="00446BEE" w:rsidRPr="00FF1197">
      <w:rPr>
        <w:color w:val="2B579A"/>
        <w:sz w:val="20"/>
        <w:szCs w:val="20"/>
        <w:shd w:val="clear" w:color="auto" w:fill="E6E6E6"/>
      </w:rPr>
      <w:fldChar w:fldCharType="end"/>
    </w:r>
    <w:r w:rsidR="00446BEE" w:rsidRPr="00FF1197">
      <w:rPr>
        <w:sz w:val="20"/>
        <w:szCs w:val="20"/>
      </w:rPr>
      <w:t xml:space="preserve"> of </w:t>
    </w:r>
    <w:r w:rsidR="00446BEE" w:rsidRPr="00FF1197">
      <w:rPr>
        <w:color w:val="2B579A"/>
        <w:sz w:val="20"/>
        <w:szCs w:val="20"/>
        <w:shd w:val="clear" w:color="auto" w:fill="E6E6E6"/>
      </w:rPr>
      <w:fldChar w:fldCharType="begin"/>
    </w:r>
    <w:r w:rsidR="00446BEE" w:rsidRPr="00FF1197">
      <w:rPr>
        <w:sz w:val="20"/>
        <w:szCs w:val="20"/>
      </w:rPr>
      <w:instrText>NUMPAGES</w:instrText>
    </w:r>
    <w:r w:rsidR="00446BEE" w:rsidRPr="00FF1197">
      <w:rPr>
        <w:color w:val="2B579A"/>
        <w:sz w:val="20"/>
        <w:szCs w:val="20"/>
        <w:shd w:val="clear" w:color="auto" w:fill="E6E6E6"/>
      </w:rPr>
      <w:fldChar w:fldCharType="separate"/>
    </w:r>
    <w:r w:rsidR="00FA2C5A" w:rsidRPr="00FF1197">
      <w:rPr>
        <w:noProof/>
        <w:sz w:val="20"/>
        <w:szCs w:val="20"/>
      </w:rPr>
      <w:t>1</w:t>
    </w:r>
    <w:r w:rsidR="00446BEE" w:rsidRPr="00FF1197">
      <w:rPr>
        <w:color w:val="2B579A"/>
        <w:sz w:val="20"/>
        <w:szCs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AABB" w14:textId="600AA870" w:rsidR="008E7826" w:rsidRPr="00FF1197" w:rsidRDefault="00362B1C" w:rsidP="008E7826">
    <w:pPr>
      <w:pStyle w:val="Footer"/>
      <w:rPr>
        <w:sz w:val="20"/>
        <w:szCs w:val="20"/>
      </w:rPr>
    </w:pPr>
    <w:r w:rsidRPr="00FF1197">
      <w:rPr>
        <w:sz w:val="20"/>
        <w:szCs w:val="20"/>
      </w:rPr>
      <w:t>Principles for marking and redacting confidential information in technology appraisals and highly specialised technolog</w:t>
    </w:r>
    <w:r w:rsidR="00BC1A4F">
      <w:rPr>
        <w:sz w:val="20"/>
        <w:szCs w:val="20"/>
      </w:rPr>
      <w:t>ies</w:t>
    </w:r>
    <w:r w:rsidRPr="00FF1197">
      <w:rPr>
        <w:sz w:val="20"/>
        <w:szCs w:val="20"/>
      </w:rPr>
      <w:t xml:space="preserve"> evaluation</w:t>
    </w:r>
    <w:r w:rsidR="008E7826">
      <w:tab/>
    </w:r>
    <w:r w:rsidR="008E7826">
      <w:tab/>
    </w:r>
    <w:r w:rsidR="008E7826" w:rsidRPr="00FF1197">
      <w:rPr>
        <w:sz w:val="20"/>
        <w:szCs w:val="20"/>
      </w:rPr>
      <w:t xml:space="preserve">Page </w:t>
    </w:r>
    <w:r w:rsidR="008E7826" w:rsidRPr="00FF1197">
      <w:rPr>
        <w:color w:val="2B579A"/>
        <w:sz w:val="20"/>
        <w:szCs w:val="20"/>
        <w:shd w:val="clear" w:color="auto" w:fill="E6E6E6"/>
      </w:rPr>
      <w:fldChar w:fldCharType="begin"/>
    </w:r>
    <w:r w:rsidR="008E7826" w:rsidRPr="00FF1197">
      <w:rPr>
        <w:sz w:val="20"/>
        <w:szCs w:val="20"/>
      </w:rPr>
      <w:instrText xml:space="preserve"> PAGE </w:instrText>
    </w:r>
    <w:r w:rsidR="008E7826" w:rsidRPr="00FF1197">
      <w:rPr>
        <w:color w:val="2B579A"/>
        <w:sz w:val="20"/>
        <w:szCs w:val="20"/>
        <w:shd w:val="clear" w:color="auto" w:fill="E6E6E6"/>
      </w:rPr>
      <w:fldChar w:fldCharType="separate"/>
    </w:r>
    <w:r w:rsidR="008E7826" w:rsidRPr="00FF1197">
      <w:rPr>
        <w:noProof/>
        <w:sz w:val="20"/>
        <w:szCs w:val="20"/>
      </w:rPr>
      <w:t>2</w:t>
    </w:r>
    <w:r w:rsidR="008E7826" w:rsidRPr="00FF1197">
      <w:rPr>
        <w:color w:val="2B579A"/>
        <w:sz w:val="20"/>
        <w:szCs w:val="20"/>
        <w:shd w:val="clear" w:color="auto" w:fill="E6E6E6"/>
      </w:rPr>
      <w:fldChar w:fldCharType="end"/>
    </w:r>
    <w:r w:rsidR="008E7826" w:rsidRPr="00FF1197">
      <w:rPr>
        <w:sz w:val="20"/>
        <w:szCs w:val="20"/>
      </w:rPr>
      <w:t xml:space="preserve"> of </w:t>
    </w:r>
    <w:r w:rsidR="008E7826" w:rsidRPr="00FF1197">
      <w:rPr>
        <w:color w:val="2B579A"/>
        <w:sz w:val="20"/>
        <w:szCs w:val="20"/>
        <w:shd w:val="clear" w:color="auto" w:fill="E6E6E6"/>
      </w:rPr>
      <w:fldChar w:fldCharType="begin"/>
    </w:r>
    <w:r w:rsidR="008E7826" w:rsidRPr="00FF1197">
      <w:rPr>
        <w:sz w:val="20"/>
        <w:szCs w:val="20"/>
      </w:rPr>
      <w:instrText>NUMPAGES</w:instrText>
    </w:r>
    <w:r w:rsidR="008E7826" w:rsidRPr="00FF1197">
      <w:rPr>
        <w:color w:val="2B579A"/>
        <w:sz w:val="20"/>
        <w:szCs w:val="20"/>
        <w:shd w:val="clear" w:color="auto" w:fill="E6E6E6"/>
      </w:rPr>
      <w:fldChar w:fldCharType="separate"/>
    </w:r>
    <w:r w:rsidR="008E7826" w:rsidRPr="00FF1197">
      <w:rPr>
        <w:noProof/>
        <w:sz w:val="20"/>
        <w:szCs w:val="20"/>
      </w:rPr>
      <w:t>2</w:t>
    </w:r>
    <w:r w:rsidR="008E7826" w:rsidRPr="00FF1197">
      <w:rPr>
        <w:color w:val="2B579A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D2A3" w14:textId="77777777" w:rsidR="008A6E62" w:rsidRDefault="008A6E62" w:rsidP="00446BEE">
      <w:r>
        <w:separator/>
      </w:r>
    </w:p>
  </w:footnote>
  <w:footnote w:type="continuationSeparator" w:id="0">
    <w:p w14:paraId="77D968F9" w14:textId="77777777" w:rsidR="008A6E62" w:rsidRDefault="008A6E62" w:rsidP="00446BEE">
      <w:r>
        <w:continuationSeparator/>
      </w:r>
    </w:p>
  </w:footnote>
  <w:footnote w:type="continuationNotice" w:id="1">
    <w:p w14:paraId="249D419D" w14:textId="77777777" w:rsidR="008A6E62" w:rsidRDefault="008A6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306A" w14:textId="77777777" w:rsidR="008F6FB7" w:rsidRDefault="008F6FB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8F7932D" wp14:editId="1CD5C844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831763933" name="Picture 831763933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81701BD6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0ABC76CF"/>
    <w:multiLevelType w:val="hybridMultilevel"/>
    <w:tmpl w:val="207466E6"/>
    <w:lvl w:ilvl="0" w:tplc="328E00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30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9E854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F0A2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8A0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30AD3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4029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041A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0D570008"/>
    <w:multiLevelType w:val="hybridMultilevel"/>
    <w:tmpl w:val="F98E6A50"/>
    <w:lvl w:ilvl="0" w:tplc="1B8C1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C7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D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82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40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8D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42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83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964430A"/>
    <w:multiLevelType w:val="hybridMultilevel"/>
    <w:tmpl w:val="68AE6A00"/>
    <w:lvl w:ilvl="0" w:tplc="95DA4F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41555"/>
    <w:multiLevelType w:val="hybridMultilevel"/>
    <w:tmpl w:val="9ED85C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C3584"/>
    <w:multiLevelType w:val="multilevel"/>
    <w:tmpl w:val="ED50DFA4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level2text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1" w15:restartNumberingAfterBreak="0">
    <w:nsid w:val="32B32F6E"/>
    <w:multiLevelType w:val="hybridMultilevel"/>
    <w:tmpl w:val="A1B64EC4"/>
    <w:lvl w:ilvl="0" w:tplc="4C6C3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6275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21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AA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0B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F0E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6D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44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CED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1B7135"/>
    <w:multiLevelType w:val="multilevel"/>
    <w:tmpl w:val="65E8D62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4" w15:restartNumberingAfterBreak="0">
    <w:nsid w:val="48220E65"/>
    <w:multiLevelType w:val="hybridMultilevel"/>
    <w:tmpl w:val="F88A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70D8B"/>
    <w:multiLevelType w:val="hybridMultilevel"/>
    <w:tmpl w:val="9ED85C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27C2B"/>
    <w:multiLevelType w:val="hybridMultilevel"/>
    <w:tmpl w:val="9ED85C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2" w15:restartNumberingAfterBreak="0">
    <w:nsid w:val="696F2189"/>
    <w:multiLevelType w:val="hybridMultilevel"/>
    <w:tmpl w:val="7DD6DEFA"/>
    <w:lvl w:ilvl="0" w:tplc="B20870AC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4" w15:restartNumberingAfterBreak="0">
    <w:nsid w:val="730426B4"/>
    <w:multiLevelType w:val="hybridMultilevel"/>
    <w:tmpl w:val="53F2F07C"/>
    <w:lvl w:ilvl="0" w:tplc="12603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88E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1EA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8B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CC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E09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A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86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C2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3A41A58"/>
    <w:multiLevelType w:val="hybridMultilevel"/>
    <w:tmpl w:val="48CAFA08"/>
    <w:lvl w:ilvl="0" w:tplc="AA8A1654">
      <w:start w:val="1"/>
      <w:numFmt w:val="decimal"/>
      <w:lvlText w:val="%1)"/>
      <w:lvlJc w:val="left"/>
      <w:pPr>
        <w:ind w:left="360" w:hanging="360"/>
      </w:pPr>
    </w:lvl>
    <w:lvl w:ilvl="1" w:tplc="D2C8C36C" w:tentative="1">
      <w:start w:val="1"/>
      <w:numFmt w:val="lowerLetter"/>
      <w:lvlText w:val="%2."/>
      <w:lvlJc w:val="left"/>
      <w:pPr>
        <w:ind w:left="1080" w:hanging="360"/>
      </w:pPr>
    </w:lvl>
    <w:lvl w:ilvl="2" w:tplc="B0CAE0EC" w:tentative="1">
      <w:start w:val="1"/>
      <w:numFmt w:val="lowerRoman"/>
      <w:lvlText w:val="%3."/>
      <w:lvlJc w:val="right"/>
      <w:pPr>
        <w:ind w:left="1800" w:hanging="180"/>
      </w:pPr>
    </w:lvl>
    <w:lvl w:ilvl="3" w:tplc="5666FF0C" w:tentative="1">
      <w:start w:val="1"/>
      <w:numFmt w:val="decimal"/>
      <w:lvlText w:val="%4."/>
      <w:lvlJc w:val="left"/>
      <w:pPr>
        <w:ind w:left="2520" w:hanging="360"/>
      </w:pPr>
    </w:lvl>
    <w:lvl w:ilvl="4" w:tplc="29B6A1E8" w:tentative="1">
      <w:start w:val="1"/>
      <w:numFmt w:val="lowerLetter"/>
      <w:lvlText w:val="%5."/>
      <w:lvlJc w:val="left"/>
      <w:pPr>
        <w:ind w:left="3240" w:hanging="360"/>
      </w:pPr>
    </w:lvl>
    <w:lvl w:ilvl="5" w:tplc="E18C3966" w:tentative="1">
      <w:start w:val="1"/>
      <w:numFmt w:val="lowerRoman"/>
      <w:lvlText w:val="%6."/>
      <w:lvlJc w:val="right"/>
      <w:pPr>
        <w:ind w:left="3960" w:hanging="180"/>
      </w:pPr>
    </w:lvl>
    <w:lvl w:ilvl="6" w:tplc="80223D2A" w:tentative="1">
      <w:start w:val="1"/>
      <w:numFmt w:val="decimal"/>
      <w:lvlText w:val="%7."/>
      <w:lvlJc w:val="left"/>
      <w:pPr>
        <w:ind w:left="4680" w:hanging="360"/>
      </w:pPr>
    </w:lvl>
    <w:lvl w:ilvl="7" w:tplc="FC46B7A0" w:tentative="1">
      <w:start w:val="1"/>
      <w:numFmt w:val="lowerLetter"/>
      <w:lvlText w:val="%8."/>
      <w:lvlJc w:val="left"/>
      <w:pPr>
        <w:ind w:left="5400" w:hanging="360"/>
      </w:pPr>
    </w:lvl>
    <w:lvl w:ilvl="8" w:tplc="EC74DC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837659">
    <w:abstractNumId w:val="13"/>
  </w:num>
  <w:num w:numId="2" w16cid:durableId="63384370">
    <w:abstractNumId w:val="27"/>
  </w:num>
  <w:num w:numId="3" w16cid:durableId="1271931310">
    <w:abstractNumId w:val="32"/>
  </w:num>
  <w:num w:numId="4" w16cid:durableId="987441700">
    <w:abstractNumId w:val="32"/>
    <w:lvlOverride w:ilvl="0">
      <w:startOverride w:val="1"/>
    </w:lvlOverride>
  </w:num>
  <w:num w:numId="5" w16cid:durableId="1499422565">
    <w:abstractNumId w:val="32"/>
    <w:lvlOverride w:ilvl="0">
      <w:startOverride w:val="1"/>
    </w:lvlOverride>
  </w:num>
  <w:num w:numId="6" w16cid:durableId="2069916214">
    <w:abstractNumId w:val="32"/>
    <w:lvlOverride w:ilvl="0">
      <w:startOverride w:val="1"/>
    </w:lvlOverride>
  </w:num>
  <w:num w:numId="7" w16cid:durableId="1714303981">
    <w:abstractNumId w:val="32"/>
    <w:lvlOverride w:ilvl="0">
      <w:startOverride w:val="1"/>
    </w:lvlOverride>
  </w:num>
  <w:num w:numId="8" w16cid:durableId="1383334273">
    <w:abstractNumId w:val="32"/>
    <w:lvlOverride w:ilvl="0">
      <w:startOverride w:val="1"/>
    </w:lvlOverride>
  </w:num>
  <w:num w:numId="9" w16cid:durableId="1773280767">
    <w:abstractNumId w:val="9"/>
  </w:num>
  <w:num w:numId="10" w16cid:durableId="25370262">
    <w:abstractNumId w:val="7"/>
  </w:num>
  <w:num w:numId="11" w16cid:durableId="631717178">
    <w:abstractNumId w:val="6"/>
  </w:num>
  <w:num w:numId="12" w16cid:durableId="229852498">
    <w:abstractNumId w:val="5"/>
  </w:num>
  <w:num w:numId="13" w16cid:durableId="619150223">
    <w:abstractNumId w:val="4"/>
  </w:num>
  <w:num w:numId="14" w16cid:durableId="1727877967">
    <w:abstractNumId w:val="8"/>
  </w:num>
  <w:num w:numId="15" w16cid:durableId="1039671961">
    <w:abstractNumId w:val="3"/>
  </w:num>
  <w:num w:numId="16" w16cid:durableId="1876431772">
    <w:abstractNumId w:val="2"/>
  </w:num>
  <w:num w:numId="17" w16cid:durableId="1799951448">
    <w:abstractNumId w:val="1"/>
  </w:num>
  <w:num w:numId="18" w16cid:durableId="960921361">
    <w:abstractNumId w:val="0"/>
  </w:num>
  <w:num w:numId="19" w16cid:durableId="250091122">
    <w:abstractNumId w:val="19"/>
  </w:num>
  <w:num w:numId="20" w16cid:durableId="1373924523">
    <w:abstractNumId w:val="19"/>
    <w:lvlOverride w:ilvl="0">
      <w:startOverride w:val="1"/>
    </w:lvlOverride>
  </w:num>
  <w:num w:numId="21" w16cid:durableId="399716702">
    <w:abstractNumId w:val="27"/>
  </w:num>
  <w:num w:numId="22" w16cid:durableId="1595244151">
    <w:abstractNumId w:val="32"/>
  </w:num>
  <w:num w:numId="23" w16cid:durableId="368646558">
    <w:abstractNumId w:val="19"/>
  </w:num>
  <w:num w:numId="24" w16cid:durableId="534393170">
    <w:abstractNumId w:val="30"/>
  </w:num>
  <w:num w:numId="25" w16cid:durableId="609512517">
    <w:abstractNumId w:val="33"/>
  </w:num>
  <w:num w:numId="26" w16cid:durableId="854802264">
    <w:abstractNumId w:val="17"/>
  </w:num>
  <w:num w:numId="27" w16cid:durableId="959797742">
    <w:abstractNumId w:val="15"/>
  </w:num>
  <w:num w:numId="28" w16cid:durableId="1202356133">
    <w:abstractNumId w:val="35"/>
  </w:num>
  <w:num w:numId="29" w16cid:durableId="1351906703">
    <w:abstractNumId w:val="26"/>
  </w:num>
  <w:num w:numId="30" w16cid:durableId="753169046">
    <w:abstractNumId w:val="34"/>
  </w:num>
  <w:num w:numId="31" w16cid:durableId="1613438525">
    <w:abstractNumId w:val="11"/>
  </w:num>
  <w:num w:numId="32" w16cid:durableId="585306645">
    <w:abstractNumId w:val="21"/>
  </w:num>
  <w:num w:numId="33" w16cid:durableId="269896533">
    <w:abstractNumId w:val="24"/>
  </w:num>
  <w:num w:numId="34" w16cid:durableId="1675692387">
    <w:abstractNumId w:val="28"/>
  </w:num>
  <w:num w:numId="35" w16cid:durableId="1658419952">
    <w:abstractNumId w:val="10"/>
  </w:num>
  <w:num w:numId="36" w16cid:durableId="505437261">
    <w:abstractNumId w:val="18"/>
  </w:num>
  <w:num w:numId="37" w16cid:durableId="1338078712">
    <w:abstractNumId w:val="22"/>
  </w:num>
  <w:num w:numId="38" w16cid:durableId="19358268">
    <w:abstractNumId w:val="23"/>
  </w:num>
  <w:num w:numId="39" w16cid:durableId="1523980601">
    <w:abstractNumId w:val="14"/>
  </w:num>
  <w:num w:numId="40" w16cid:durableId="1397506137">
    <w:abstractNumId w:val="16"/>
  </w:num>
  <w:num w:numId="41" w16cid:durableId="1767729200">
    <w:abstractNumId w:val="12"/>
  </w:num>
  <w:num w:numId="42" w16cid:durableId="1205141556">
    <w:abstractNumId w:val="31"/>
  </w:num>
  <w:num w:numId="43" w16cid:durableId="1887906378">
    <w:abstractNumId w:val="20"/>
  </w:num>
  <w:num w:numId="44" w16cid:durableId="143201822">
    <w:abstractNumId w:val="20"/>
  </w:num>
  <w:num w:numId="45" w16cid:durableId="1016538391">
    <w:abstractNumId w:val="29"/>
  </w:num>
  <w:num w:numId="46" w16cid:durableId="593443635">
    <w:abstractNumId w:val="25"/>
  </w:num>
  <w:num w:numId="47" w16cid:durableId="12710875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5D"/>
    <w:rsid w:val="000053F8"/>
    <w:rsid w:val="00024D0A"/>
    <w:rsid w:val="00070065"/>
    <w:rsid w:val="0008234F"/>
    <w:rsid w:val="00086E20"/>
    <w:rsid w:val="000A4FEE"/>
    <w:rsid w:val="000A6B88"/>
    <w:rsid w:val="000B5939"/>
    <w:rsid w:val="000D34BD"/>
    <w:rsid w:val="000E7C45"/>
    <w:rsid w:val="000F32DA"/>
    <w:rsid w:val="001043D6"/>
    <w:rsid w:val="001134E7"/>
    <w:rsid w:val="00116694"/>
    <w:rsid w:val="001336FF"/>
    <w:rsid w:val="00136206"/>
    <w:rsid w:val="001413DF"/>
    <w:rsid w:val="001471B4"/>
    <w:rsid w:val="00157BBE"/>
    <w:rsid w:val="0016570E"/>
    <w:rsid w:val="0017169E"/>
    <w:rsid w:val="001963BD"/>
    <w:rsid w:val="001A6635"/>
    <w:rsid w:val="001B0EE9"/>
    <w:rsid w:val="001B5D75"/>
    <w:rsid w:val="001B65B3"/>
    <w:rsid w:val="001C25C7"/>
    <w:rsid w:val="001C32FF"/>
    <w:rsid w:val="001E3F45"/>
    <w:rsid w:val="001E60D6"/>
    <w:rsid w:val="00206599"/>
    <w:rsid w:val="0021091B"/>
    <w:rsid w:val="002124D5"/>
    <w:rsid w:val="00217A38"/>
    <w:rsid w:val="002210E6"/>
    <w:rsid w:val="002261BB"/>
    <w:rsid w:val="002402A4"/>
    <w:rsid w:val="002408EA"/>
    <w:rsid w:val="00242A5A"/>
    <w:rsid w:val="0025603E"/>
    <w:rsid w:val="002676F6"/>
    <w:rsid w:val="002819D7"/>
    <w:rsid w:val="00284AA6"/>
    <w:rsid w:val="002A3DB7"/>
    <w:rsid w:val="002C1A7E"/>
    <w:rsid w:val="002D3376"/>
    <w:rsid w:val="002E149D"/>
    <w:rsid w:val="00311ED0"/>
    <w:rsid w:val="003217DC"/>
    <w:rsid w:val="00326FAD"/>
    <w:rsid w:val="00341377"/>
    <w:rsid w:val="0034592F"/>
    <w:rsid w:val="003471D8"/>
    <w:rsid w:val="003623AB"/>
    <w:rsid w:val="00362B1C"/>
    <w:rsid w:val="003648C5"/>
    <w:rsid w:val="003722FA"/>
    <w:rsid w:val="003822A1"/>
    <w:rsid w:val="003A6BF0"/>
    <w:rsid w:val="003B42E2"/>
    <w:rsid w:val="003B6E0F"/>
    <w:rsid w:val="003C1311"/>
    <w:rsid w:val="003C7AAF"/>
    <w:rsid w:val="003E5815"/>
    <w:rsid w:val="003F0A04"/>
    <w:rsid w:val="003F1C1C"/>
    <w:rsid w:val="004017F5"/>
    <w:rsid w:val="004075B6"/>
    <w:rsid w:val="00420952"/>
    <w:rsid w:val="00432C5A"/>
    <w:rsid w:val="00438758"/>
    <w:rsid w:val="00446BEE"/>
    <w:rsid w:val="00454455"/>
    <w:rsid w:val="00471D7C"/>
    <w:rsid w:val="004F04AE"/>
    <w:rsid w:val="005025A1"/>
    <w:rsid w:val="005049E7"/>
    <w:rsid w:val="00505BED"/>
    <w:rsid w:val="005213B5"/>
    <w:rsid w:val="005264A3"/>
    <w:rsid w:val="005938C8"/>
    <w:rsid w:val="00594C3A"/>
    <w:rsid w:val="005975EC"/>
    <w:rsid w:val="005A02D5"/>
    <w:rsid w:val="005A4403"/>
    <w:rsid w:val="005B3201"/>
    <w:rsid w:val="005B7E79"/>
    <w:rsid w:val="005C319A"/>
    <w:rsid w:val="005D52D0"/>
    <w:rsid w:val="00613DC6"/>
    <w:rsid w:val="00624140"/>
    <w:rsid w:val="0063425E"/>
    <w:rsid w:val="0063462D"/>
    <w:rsid w:val="006435EB"/>
    <w:rsid w:val="00644CE3"/>
    <w:rsid w:val="006463DE"/>
    <w:rsid w:val="0065500B"/>
    <w:rsid w:val="00657475"/>
    <w:rsid w:val="00665713"/>
    <w:rsid w:val="006709A9"/>
    <w:rsid w:val="00673E4C"/>
    <w:rsid w:val="006775D3"/>
    <w:rsid w:val="006802A7"/>
    <w:rsid w:val="006921E1"/>
    <w:rsid w:val="00696C0A"/>
    <w:rsid w:val="006A28FB"/>
    <w:rsid w:val="006E6FFD"/>
    <w:rsid w:val="0073345E"/>
    <w:rsid w:val="00735F08"/>
    <w:rsid w:val="00736348"/>
    <w:rsid w:val="00772B50"/>
    <w:rsid w:val="0077376B"/>
    <w:rsid w:val="00775C19"/>
    <w:rsid w:val="00781C41"/>
    <w:rsid w:val="00787B87"/>
    <w:rsid w:val="00796911"/>
    <w:rsid w:val="007E4554"/>
    <w:rsid w:val="00801A30"/>
    <w:rsid w:val="00806E11"/>
    <w:rsid w:val="00817760"/>
    <w:rsid w:val="00820434"/>
    <w:rsid w:val="00833D8A"/>
    <w:rsid w:val="00840299"/>
    <w:rsid w:val="00845A9F"/>
    <w:rsid w:val="008554AC"/>
    <w:rsid w:val="00861B92"/>
    <w:rsid w:val="008641DB"/>
    <w:rsid w:val="0086654F"/>
    <w:rsid w:val="008814FB"/>
    <w:rsid w:val="008909D9"/>
    <w:rsid w:val="008936BA"/>
    <w:rsid w:val="00895995"/>
    <w:rsid w:val="008A41BF"/>
    <w:rsid w:val="008A6E62"/>
    <w:rsid w:val="008E2311"/>
    <w:rsid w:val="008E7826"/>
    <w:rsid w:val="008F5E30"/>
    <w:rsid w:val="008F6FB7"/>
    <w:rsid w:val="008F79B6"/>
    <w:rsid w:val="00914D7F"/>
    <w:rsid w:val="00926997"/>
    <w:rsid w:val="00941EBD"/>
    <w:rsid w:val="009535B2"/>
    <w:rsid w:val="00960029"/>
    <w:rsid w:val="00963676"/>
    <w:rsid w:val="0097305A"/>
    <w:rsid w:val="00982B5F"/>
    <w:rsid w:val="009C16C7"/>
    <w:rsid w:val="009C3A99"/>
    <w:rsid w:val="009C5D19"/>
    <w:rsid w:val="009D06A6"/>
    <w:rsid w:val="009E680B"/>
    <w:rsid w:val="00A05DDE"/>
    <w:rsid w:val="00A15A1F"/>
    <w:rsid w:val="00A3325A"/>
    <w:rsid w:val="00A37ECF"/>
    <w:rsid w:val="00A43013"/>
    <w:rsid w:val="00A55C05"/>
    <w:rsid w:val="00A835B3"/>
    <w:rsid w:val="00A8477F"/>
    <w:rsid w:val="00A87B92"/>
    <w:rsid w:val="00AA0038"/>
    <w:rsid w:val="00AA0CF4"/>
    <w:rsid w:val="00AB1A8F"/>
    <w:rsid w:val="00AB5640"/>
    <w:rsid w:val="00AD0813"/>
    <w:rsid w:val="00AE2D1A"/>
    <w:rsid w:val="00AF108A"/>
    <w:rsid w:val="00AF28B4"/>
    <w:rsid w:val="00B02E55"/>
    <w:rsid w:val="00B036C1"/>
    <w:rsid w:val="00B16BDE"/>
    <w:rsid w:val="00B2625D"/>
    <w:rsid w:val="00B26EF8"/>
    <w:rsid w:val="00B53657"/>
    <w:rsid w:val="00B5431F"/>
    <w:rsid w:val="00B659B5"/>
    <w:rsid w:val="00B65A11"/>
    <w:rsid w:val="00B835D1"/>
    <w:rsid w:val="00BA3459"/>
    <w:rsid w:val="00BB3949"/>
    <w:rsid w:val="00BC184B"/>
    <w:rsid w:val="00BC1A4F"/>
    <w:rsid w:val="00BD32F3"/>
    <w:rsid w:val="00BF46F5"/>
    <w:rsid w:val="00BF7FE0"/>
    <w:rsid w:val="00C01ABB"/>
    <w:rsid w:val="00C11473"/>
    <w:rsid w:val="00C12EE0"/>
    <w:rsid w:val="00C36044"/>
    <w:rsid w:val="00C50BAF"/>
    <w:rsid w:val="00C6A0CD"/>
    <w:rsid w:val="00C727F3"/>
    <w:rsid w:val="00C77C66"/>
    <w:rsid w:val="00C85682"/>
    <w:rsid w:val="00C86F6C"/>
    <w:rsid w:val="00C94DD1"/>
    <w:rsid w:val="00C96411"/>
    <w:rsid w:val="00CB2369"/>
    <w:rsid w:val="00CF23C2"/>
    <w:rsid w:val="00CF2E5C"/>
    <w:rsid w:val="00CF3E26"/>
    <w:rsid w:val="00CF58B7"/>
    <w:rsid w:val="00D02A8F"/>
    <w:rsid w:val="00D15A90"/>
    <w:rsid w:val="00D1699D"/>
    <w:rsid w:val="00D351C1"/>
    <w:rsid w:val="00D35EFB"/>
    <w:rsid w:val="00D47D55"/>
    <w:rsid w:val="00D504B3"/>
    <w:rsid w:val="00D54A69"/>
    <w:rsid w:val="00D72ED8"/>
    <w:rsid w:val="00D74BF8"/>
    <w:rsid w:val="00D80793"/>
    <w:rsid w:val="00D86BF0"/>
    <w:rsid w:val="00DD2B6D"/>
    <w:rsid w:val="00DF3F48"/>
    <w:rsid w:val="00E04A2C"/>
    <w:rsid w:val="00E07A27"/>
    <w:rsid w:val="00E23D06"/>
    <w:rsid w:val="00E51079"/>
    <w:rsid w:val="00E51920"/>
    <w:rsid w:val="00E556EE"/>
    <w:rsid w:val="00E64120"/>
    <w:rsid w:val="00E660A1"/>
    <w:rsid w:val="00E71D5E"/>
    <w:rsid w:val="00E72AE9"/>
    <w:rsid w:val="00E74D47"/>
    <w:rsid w:val="00E851C4"/>
    <w:rsid w:val="00EB096F"/>
    <w:rsid w:val="00EE0B59"/>
    <w:rsid w:val="00EF74A4"/>
    <w:rsid w:val="00F00CCC"/>
    <w:rsid w:val="00F055F1"/>
    <w:rsid w:val="00F24AEE"/>
    <w:rsid w:val="00F31BDE"/>
    <w:rsid w:val="00F610AF"/>
    <w:rsid w:val="00F65C84"/>
    <w:rsid w:val="00F72932"/>
    <w:rsid w:val="00F755C2"/>
    <w:rsid w:val="00F75F15"/>
    <w:rsid w:val="00F918AE"/>
    <w:rsid w:val="00F97B6A"/>
    <w:rsid w:val="00FA2C5A"/>
    <w:rsid w:val="00FB419F"/>
    <w:rsid w:val="00FC2D11"/>
    <w:rsid w:val="00FC6230"/>
    <w:rsid w:val="00FD1E98"/>
    <w:rsid w:val="00FF1197"/>
    <w:rsid w:val="00FF17BE"/>
    <w:rsid w:val="00FF57D4"/>
    <w:rsid w:val="00FF61E7"/>
    <w:rsid w:val="01224D6F"/>
    <w:rsid w:val="01748B3D"/>
    <w:rsid w:val="0177A066"/>
    <w:rsid w:val="01857485"/>
    <w:rsid w:val="01EC6C5D"/>
    <w:rsid w:val="026EBE23"/>
    <w:rsid w:val="02D0618F"/>
    <w:rsid w:val="03016A13"/>
    <w:rsid w:val="031CC700"/>
    <w:rsid w:val="034B1D74"/>
    <w:rsid w:val="037E1D12"/>
    <w:rsid w:val="03E4B7D0"/>
    <w:rsid w:val="03F79EFF"/>
    <w:rsid w:val="0413C197"/>
    <w:rsid w:val="048C9E81"/>
    <w:rsid w:val="04E867FD"/>
    <w:rsid w:val="05377686"/>
    <w:rsid w:val="056B9745"/>
    <w:rsid w:val="0570FC27"/>
    <w:rsid w:val="060BD4B1"/>
    <w:rsid w:val="0647FC60"/>
    <w:rsid w:val="064B0A0F"/>
    <w:rsid w:val="064E31FF"/>
    <w:rsid w:val="06A75B6C"/>
    <w:rsid w:val="06B96D6C"/>
    <w:rsid w:val="06D346E7"/>
    <w:rsid w:val="0721C940"/>
    <w:rsid w:val="073CDC88"/>
    <w:rsid w:val="07731C70"/>
    <w:rsid w:val="07E3CCC1"/>
    <w:rsid w:val="0835DF2A"/>
    <w:rsid w:val="08784D0B"/>
    <w:rsid w:val="0892D789"/>
    <w:rsid w:val="091EA531"/>
    <w:rsid w:val="09240284"/>
    <w:rsid w:val="0A101B5B"/>
    <w:rsid w:val="0AB51278"/>
    <w:rsid w:val="0AEB1A91"/>
    <w:rsid w:val="0B28035B"/>
    <w:rsid w:val="0B40E99C"/>
    <w:rsid w:val="0B7D6B3D"/>
    <w:rsid w:val="0B96939A"/>
    <w:rsid w:val="0BC1B06C"/>
    <w:rsid w:val="0C0F3076"/>
    <w:rsid w:val="0C396754"/>
    <w:rsid w:val="0C68392A"/>
    <w:rsid w:val="0CA4F9F5"/>
    <w:rsid w:val="0D083A72"/>
    <w:rsid w:val="0D29E5CC"/>
    <w:rsid w:val="0D5D2DF1"/>
    <w:rsid w:val="0DA00943"/>
    <w:rsid w:val="0DB12B89"/>
    <w:rsid w:val="0DDE4B4A"/>
    <w:rsid w:val="0E743B08"/>
    <w:rsid w:val="0EA13D29"/>
    <w:rsid w:val="0EF8FE52"/>
    <w:rsid w:val="0F0E90C0"/>
    <w:rsid w:val="0F106ADF"/>
    <w:rsid w:val="0F7A1BAB"/>
    <w:rsid w:val="0FA167A4"/>
    <w:rsid w:val="0FB492AC"/>
    <w:rsid w:val="0FBE8BB4"/>
    <w:rsid w:val="0FC06341"/>
    <w:rsid w:val="0FD6A1F0"/>
    <w:rsid w:val="10365C49"/>
    <w:rsid w:val="103E9541"/>
    <w:rsid w:val="1062CF0E"/>
    <w:rsid w:val="1115EC0C"/>
    <w:rsid w:val="11FC514B"/>
    <w:rsid w:val="124E0AF6"/>
    <w:rsid w:val="12E7A4A0"/>
    <w:rsid w:val="13907C30"/>
    <w:rsid w:val="15305E56"/>
    <w:rsid w:val="158872B5"/>
    <w:rsid w:val="159676E0"/>
    <w:rsid w:val="15B4A45E"/>
    <w:rsid w:val="15DFBCA4"/>
    <w:rsid w:val="1693BDF0"/>
    <w:rsid w:val="16C49723"/>
    <w:rsid w:val="17A9A347"/>
    <w:rsid w:val="17DA54AF"/>
    <w:rsid w:val="180E417D"/>
    <w:rsid w:val="18B30ED5"/>
    <w:rsid w:val="18D48B21"/>
    <w:rsid w:val="18FD8C94"/>
    <w:rsid w:val="19762510"/>
    <w:rsid w:val="1A14C0E4"/>
    <w:rsid w:val="1A7391DD"/>
    <w:rsid w:val="1A794A58"/>
    <w:rsid w:val="1AC95465"/>
    <w:rsid w:val="1B082A01"/>
    <w:rsid w:val="1B774DAB"/>
    <w:rsid w:val="1C4AD059"/>
    <w:rsid w:val="1CF9570E"/>
    <w:rsid w:val="1D1D1AD6"/>
    <w:rsid w:val="1D443DD1"/>
    <w:rsid w:val="1D92B3DE"/>
    <w:rsid w:val="1E45C67A"/>
    <w:rsid w:val="1EA538C4"/>
    <w:rsid w:val="1F2AB1F6"/>
    <w:rsid w:val="1F3DC584"/>
    <w:rsid w:val="1F4F04E4"/>
    <w:rsid w:val="1F672814"/>
    <w:rsid w:val="1F9AF0D7"/>
    <w:rsid w:val="1FE09FD7"/>
    <w:rsid w:val="214D3547"/>
    <w:rsid w:val="218E788D"/>
    <w:rsid w:val="21A46D2E"/>
    <w:rsid w:val="21F40437"/>
    <w:rsid w:val="21FD96D7"/>
    <w:rsid w:val="2245D3DE"/>
    <w:rsid w:val="228C521F"/>
    <w:rsid w:val="22A0E980"/>
    <w:rsid w:val="2361EE44"/>
    <w:rsid w:val="23755B0C"/>
    <w:rsid w:val="23EAD3A1"/>
    <w:rsid w:val="23F7A1EC"/>
    <w:rsid w:val="24A2884F"/>
    <w:rsid w:val="25112B6D"/>
    <w:rsid w:val="2554E5EF"/>
    <w:rsid w:val="2582BB37"/>
    <w:rsid w:val="25B1F14A"/>
    <w:rsid w:val="25B30E29"/>
    <w:rsid w:val="26A6A780"/>
    <w:rsid w:val="2736CFD9"/>
    <w:rsid w:val="274ED153"/>
    <w:rsid w:val="27CF56A7"/>
    <w:rsid w:val="2848CC2F"/>
    <w:rsid w:val="285157BA"/>
    <w:rsid w:val="289E7470"/>
    <w:rsid w:val="289F3F29"/>
    <w:rsid w:val="29574D02"/>
    <w:rsid w:val="297FB81D"/>
    <w:rsid w:val="2A075A44"/>
    <w:rsid w:val="2A15CFF6"/>
    <w:rsid w:val="2A42DE1B"/>
    <w:rsid w:val="2A9D9B6E"/>
    <w:rsid w:val="2ABF6958"/>
    <w:rsid w:val="2AC9990E"/>
    <w:rsid w:val="2B9A9D22"/>
    <w:rsid w:val="2B9F7B82"/>
    <w:rsid w:val="2BD40655"/>
    <w:rsid w:val="2BEF4138"/>
    <w:rsid w:val="2C01B881"/>
    <w:rsid w:val="2C22CA7F"/>
    <w:rsid w:val="2C4190F3"/>
    <w:rsid w:val="2C9D533F"/>
    <w:rsid w:val="2CA33B13"/>
    <w:rsid w:val="2D8B13B4"/>
    <w:rsid w:val="2E4745D8"/>
    <w:rsid w:val="2E4A145C"/>
    <w:rsid w:val="2E8B2957"/>
    <w:rsid w:val="2EF35110"/>
    <w:rsid w:val="2F31E176"/>
    <w:rsid w:val="2F8A07AF"/>
    <w:rsid w:val="3049B4B8"/>
    <w:rsid w:val="30699233"/>
    <w:rsid w:val="30EC22A8"/>
    <w:rsid w:val="31621BB0"/>
    <w:rsid w:val="3189ECFC"/>
    <w:rsid w:val="32373F45"/>
    <w:rsid w:val="32B46B16"/>
    <w:rsid w:val="32B655C4"/>
    <w:rsid w:val="3300B1AA"/>
    <w:rsid w:val="335FF05B"/>
    <w:rsid w:val="340DC5B6"/>
    <w:rsid w:val="345956F2"/>
    <w:rsid w:val="34DB9201"/>
    <w:rsid w:val="3507FC28"/>
    <w:rsid w:val="354378C3"/>
    <w:rsid w:val="35783F4C"/>
    <w:rsid w:val="3597F017"/>
    <w:rsid w:val="35D42D28"/>
    <w:rsid w:val="35E20431"/>
    <w:rsid w:val="3636001C"/>
    <w:rsid w:val="365C372F"/>
    <w:rsid w:val="37234AD9"/>
    <w:rsid w:val="3751473D"/>
    <w:rsid w:val="376CEFDA"/>
    <w:rsid w:val="377F3E4F"/>
    <w:rsid w:val="37C123B7"/>
    <w:rsid w:val="37C7B2E9"/>
    <w:rsid w:val="38E06D1A"/>
    <w:rsid w:val="3A96BD51"/>
    <w:rsid w:val="3AA90682"/>
    <w:rsid w:val="3B56EEF0"/>
    <w:rsid w:val="3B6CA302"/>
    <w:rsid w:val="3C32DAB3"/>
    <w:rsid w:val="3C522052"/>
    <w:rsid w:val="3D2AF124"/>
    <w:rsid w:val="3E246F5E"/>
    <w:rsid w:val="3ED99FB5"/>
    <w:rsid w:val="3EE4DBC0"/>
    <w:rsid w:val="3EEA1F05"/>
    <w:rsid w:val="3EF8DB39"/>
    <w:rsid w:val="3F099F9E"/>
    <w:rsid w:val="3F21BAAF"/>
    <w:rsid w:val="3F94C479"/>
    <w:rsid w:val="3F9A328A"/>
    <w:rsid w:val="3FC9B94E"/>
    <w:rsid w:val="4058C707"/>
    <w:rsid w:val="4080AC21"/>
    <w:rsid w:val="41A43174"/>
    <w:rsid w:val="41FAC8A0"/>
    <w:rsid w:val="4209BD89"/>
    <w:rsid w:val="422EC9D7"/>
    <w:rsid w:val="429246D4"/>
    <w:rsid w:val="42E88C8D"/>
    <w:rsid w:val="434C4CBF"/>
    <w:rsid w:val="4351CA2A"/>
    <w:rsid w:val="43918788"/>
    <w:rsid w:val="44539E94"/>
    <w:rsid w:val="44845CEE"/>
    <w:rsid w:val="44C7D029"/>
    <w:rsid w:val="455D6B90"/>
    <w:rsid w:val="45A996E2"/>
    <w:rsid w:val="45B157FF"/>
    <w:rsid w:val="45EC589E"/>
    <w:rsid w:val="460552D7"/>
    <w:rsid w:val="461BEABD"/>
    <w:rsid w:val="4648AF84"/>
    <w:rsid w:val="46899D61"/>
    <w:rsid w:val="46BEA88C"/>
    <w:rsid w:val="46DF8BF6"/>
    <w:rsid w:val="46E9A903"/>
    <w:rsid w:val="47204646"/>
    <w:rsid w:val="47CBE901"/>
    <w:rsid w:val="47FEB20E"/>
    <w:rsid w:val="48950C52"/>
    <w:rsid w:val="49AA6AFA"/>
    <w:rsid w:val="4A4B9104"/>
    <w:rsid w:val="4A5C7414"/>
    <w:rsid w:val="4A9B188A"/>
    <w:rsid w:val="4B0CCEA6"/>
    <w:rsid w:val="4B954EFC"/>
    <w:rsid w:val="4BE14128"/>
    <w:rsid w:val="4C4493D8"/>
    <w:rsid w:val="4CE6A05C"/>
    <w:rsid w:val="4CEF511F"/>
    <w:rsid w:val="4D3FD188"/>
    <w:rsid w:val="4D4C3D97"/>
    <w:rsid w:val="4D7BDAE8"/>
    <w:rsid w:val="4D92859F"/>
    <w:rsid w:val="4DB990EF"/>
    <w:rsid w:val="4DBA0A0E"/>
    <w:rsid w:val="4DBDB7C9"/>
    <w:rsid w:val="4E16B2E6"/>
    <w:rsid w:val="4E3C5B0C"/>
    <w:rsid w:val="4E85009A"/>
    <w:rsid w:val="4E96E3FA"/>
    <w:rsid w:val="4F152FEE"/>
    <w:rsid w:val="4FAA49F4"/>
    <w:rsid w:val="4FB49017"/>
    <w:rsid w:val="4FD1C132"/>
    <w:rsid w:val="4FF1AF37"/>
    <w:rsid w:val="504B4BF4"/>
    <w:rsid w:val="508584E7"/>
    <w:rsid w:val="51758FC4"/>
    <w:rsid w:val="518FCD85"/>
    <w:rsid w:val="51B501CA"/>
    <w:rsid w:val="51E02AA4"/>
    <w:rsid w:val="51E8D167"/>
    <w:rsid w:val="5242B0F6"/>
    <w:rsid w:val="5276B2AA"/>
    <w:rsid w:val="52D1B561"/>
    <w:rsid w:val="52EF1E6E"/>
    <w:rsid w:val="53A504F0"/>
    <w:rsid w:val="5412830B"/>
    <w:rsid w:val="54202E87"/>
    <w:rsid w:val="5443952E"/>
    <w:rsid w:val="5446A3CA"/>
    <w:rsid w:val="5461408D"/>
    <w:rsid w:val="54B00BE3"/>
    <w:rsid w:val="553C3142"/>
    <w:rsid w:val="55AE536C"/>
    <w:rsid w:val="55DF9BC5"/>
    <w:rsid w:val="55F4B695"/>
    <w:rsid w:val="56035F74"/>
    <w:rsid w:val="5646B15D"/>
    <w:rsid w:val="56E38D83"/>
    <w:rsid w:val="56FD7DBC"/>
    <w:rsid w:val="570FBF2C"/>
    <w:rsid w:val="57B0D07A"/>
    <w:rsid w:val="57DCD317"/>
    <w:rsid w:val="582432CE"/>
    <w:rsid w:val="583B0DCB"/>
    <w:rsid w:val="58652952"/>
    <w:rsid w:val="587F4B42"/>
    <w:rsid w:val="590C5C24"/>
    <w:rsid w:val="591A14ED"/>
    <w:rsid w:val="5978A378"/>
    <w:rsid w:val="59B1E9E1"/>
    <w:rsid w:val="59D736ED"/>
    <w:rsid w:val="5A620544"/>
    <w:rsid w:val="5AAC4FE6"/>
    <w:rsid w:val="5ACF3768"/>
    <w:rsid w:val="5B10F259"/>
    <w:rsid w:val="5B219B13"/>
    <w:rsid w:val="5B22B6C1"/>
    <w:rsid w:val="5B44D367"/>
    <w:rsid w:val="5B533DBC"/>
    <w:rsid w:val="5BA21BCD"/>
    <w:rsid w:val="5CFFF264"/>
    <w:rsid w:val="5D765590"/>
    <w:rsid w:val="5D87D644"/>
    <w:rsid w:val="5DD87E8B"/>
    <w:rsid w:val="5E64ABC8"/>
    <w:rsid w:val="5E7C7429"/>
    <w:rsid w:val="5FBDF526"/>
    <w:rsid w:val="5FF50C36"/>
    <w:rsid w:val="6018448A"/>
    <w:rsid w:val="60D259A3"/>
    <w:rsid w:val="6112E64A"/>
    <w:rsid w:val="61276285"/>
    <w:rsid w:val="615A1EBD"/>
    <w:rsid w:val="61642BD2"/>
    <w:rsid w:val="6177D4D0"/>
    <w:rsid w:val="6190DA6D"/>
    <w:rsid w:val="6191C140"/>
    <w:rsid w:val="63277344"/>
    <w:rsid w:val="63C1ABCA"/>
    <w:rsid w:val="63C2D867"/>
    <w:rsid w:val="641348B1"/>
    <w:rsid w:val="6430945B"/>
    <w:rsid w:val="643EB32E"/>
    <w:rsid w:val="64417CD4"/>
    <w:rsid w:val="64F9E77C"/>
    <w:rsid w:val="650AB3DC"/>
    <w:rsid w:val="659492A4"/>
    <w:rsid w:val="65A367AC"/>
    <w:rsid w:val="6600857B"/>
    <w:rsid w:val="6668C6F9"/>
    <w:rsid w:val="669F11CC"/>
    <w:rsid w:val="66D3A9B4"/>
    <w:rsid w:val="66D44064"/>
    <w:rsid w:val="66E757A3"/>
    <w:rsid w:val="66F1BFCA"/>
    <w:rsid w:val="6709C6C7"/>
    <w:rsid w:val="673B7409"/>
    <w:rsid w:val="67FAE467"/>
    <w:rsid w:val="68513195"/>
    <w:rsid w:val="68C2ADA8"/>
    <w:rsid w:val="68E2319D"/>
    <w:rsid w:val="68F37360"/>
    <w:rsid w:val="695CCAA7"/>
    <w:rsid w:val="6996B4C8"/>
    <w:rsid w:val="69DCEDBD"/>
    <w:rsid w:val="6A1E8AA8"/>
    <w:rsid w:val="6B0060C5"/>
    <w:rsid w:val="6B11457D"/>
    <w:rsid w:val="6B5B21F5"/>
    <w:rsid w:val="6B71B6C6"/>
    <w:rsid w:val="6BE76FAC"/>
    <w:rsid w:val="6C5CA03C"/>
    <w:rsid w:val="6CD51B32"/>
    <w:rsid w:val="6D2F26BD"/>
    <w:rsid w:val="6D8FF07E"/>
    <w:rsid w:val="6DAC1849"/>
    <w:rsid w:val="6DC99F66"/>
    <w:rsid w:val="6E1865AB"/>
    <w:rsid w:val="6E7860D2"/>
    <w:rsid w:val="6F10E2A7"/>
    <w:rsid w:val="6F2AFCB3"/>
    <w:rsid w:val="6F41EA2A"/>
    <w:rsid w:val="6F734702"/>
    <w:rsid w:val="6F9107D9"/>
    <w:rsid w:val="6FA18EDC"/>
    <w:rsid w:val="6FCCCCBE"/>
    <w:rsid w:val="700F09E1"/>
    <w:rsid w:val="70131C8B"/>
    <w:rsid w:val="70496678"/>
    <w:rsid w:val="70643100"/>
    <w:rsid w:val="710F1763"/>
    <w:rsid w:val="712158F1"/>
    <w:rsid w:val="713F4F57"/>
    <w:rsid w:val="716BEA80"/>
    <w:rsid w:val="71A1C6AD"/>
    <w:rsid w:val="71D5F83C"/>
    <w:rsid w:val="721B6F14"/>
    <w:rsid w:val="72DB1FB8"/>
    <w:rsid w:val="72E2EEC8"/>
    <w:rsid w:val="72EBD6CE"/>
    <w:rsid w:val="73033DAE"/>
    <w:rsid w:val="734F8BDC"/>
    <w:rsid w:val="736DA566"/>
    <w:rsid w:val="7371C89D"/>
    <w:rsid w:val="739BD1C2"/>
    <w:rsid w:val="73A81CE8"/>
    <w:rsid w:val="73E0E9B7"/>
    <w:rsid w:val="7446B825"/>
    <w:rsid w:val="74902B32"/>
    <w:rsid w:val="749C900A"/>
    <w:rsid w:val="74C57AE1"/>
    <w:rsid w:val="7505D586"/>
    <w:rsid w:val="7514F243"/>
    <w:rsid w:val="75322F3C"/>
    <w:rsid w:val="757ACDB0"/>
    <w:rsid w:val="76D37284"/>
    <w:rsid w:val="76EECB2E"/>
    <w:rsid w:val="777FC225"/>
    <w:rsid w:val="77E864D9"/>
    <w:rsid w:val="7817CDD9"/>
    <w:rsid w:val="78325987"/>
    <w:rsid w:val="7853B0F0"/>
    <w:rsid w:val="786F42E5"/>
    <w:rsid w:val="793138DF"/>
    <w:rsid w:val="798F0520"/>
    <w:rsid w:val="79A6A98E"/>
    <w:rsid w:val="79B5EC27"/>
    <w:rsid w:val="7A3702DE"/>
    <w:rsid w:val="7A5A9C99"/>
    <w:rsid w:val="7A612315"/>
    <w:rsid w:val="7A877328"/>
    <w:rsid w:val="7B6941CB"/>
    <w:rsid w:val="7BAE99F0"/>
    <w:rsid w:val="7BBC71D8"/>
    <w:rsid w:val="7BD01C86"/>
    <w:rsid w:val="7BE8FAE0"/>
    <w:rsid w:val="7BF749D7"/>
    <w:rsid w:val="7C6BA648"/>
    <w:rsid w:val="7C96B069"/>
    <w:rsid w:val="7CED8CE9"/>
    <w:rsid w:val="7D60855F"/>
    <w:rsid w:val="7D931A38"/>
    <w:rsid w:val="7DC69FE0"/>
    <w:rsid w:val="7DEC85C3"/>
    <w:rsid w:val="7DF92217"/>
    <w:rsid w:val="7DFEFA22"/>
    <w:rsid w:val="7E1F9EE7"/>
    <w:rsid w:val="7EA6F898"/>
    <w:rsid w:val="7F5AE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32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403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284AA6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284AA6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284AA6"/>
    <w:pPr>
      <w:spacing w:before="12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link w:val="Heading4Char"/>
    <w:qFormat/>
    <w:rsid w:val="00284AA6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1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284AA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284AA6"/>
    <w:pPr>
      <w:spacing w:after="120" w:line="276" w:lineRule="auto"/>
      <w:ind w:left="1134" w:hanging="454"/>
    </w:pPr>
    <w:rPr>
      <w:rFonts w:ascii="Arial" w:hAnsi="Arial"/>
      <w:lang w:eastAsia="en-GB"/>
    </w:rPr>
  </w:style>
  <w:style w:type="paragraph" w:styleId="Header">
    <w:name w:val="header"/>
    <w:basedOn w:val="NICEnormalsinglespacing"/>
    <w:link w:val="HeaderChar"/>
    <w:rsid w:val="00284A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E680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ICEnormalsinglespacing"/>
    <w:link w:val="FooterChar"/>
    <w:rsid w:val="00284A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7169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284AA6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84AA6"/>
    <w:rPr>
      <w:rFonts w:ascii="Arial" w:hAnsi="Arial" w:cs="Arial"/>
      <w:b/>
      <w:bCs/>
      <w:sz w:val="26"/>
      <w:szCs w:val="26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3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rsid w:val="00A87B92"/>
    <w:pPr>
      <w:tabs>
        <w:tab w:val="left" w:pos="480"/>
        <w:tab w:val="right" w:leader="dot" w:pos="8296"/>
      </w:tabs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sz w:val="24"/>
      <w:szCs w:val="28"/>
      <w:lang w:eastAsia="en-US"/>
    </w:rPr>
  </w:style>
  <w:style w:type="paragraph" w:styleId="Caption">
    <w:name w:val="caption"/>
    <w:basedOn w:val="NICEnormal"/>
    <w:next w:val="NICEnormal"/>
    <w:unhideWhenUsed/>
    <w:qFormat/>
    <w:rsid w:val="00284AA6"/>
    <w:pPr>
      <w:keepNext/>
      <w:spacing w:after="200"/>
    </w:pPr>
    <w:rPr>
      <w:b/>
      <w:bCs/>
      <w:iCs/>
      <w:szCs w:val="18"/>
    </w:rPr>
  </w:style>
  <w:style w:type="character" w:styleId="Hyperlink">
    <w:name w:val="Hyperlink"/>
    <w:uiPriority w:val="99"/>
    <w:rsid w:val="00284AA6"/>
    <w:rPr>
      <w:color w:val="0000FF"/>
      <w:u w:val="single"/>
    </w:rPr>
  </w:style>
  <w:style w:type="table" w:customStyle="1" w:styleId="PanelDefault">
    <w:name w:val="Panel (Default)"/>
    <w:basedOn w:val="TableNormal"/>
    <w:uiPriority w:val="99"/>
    <w:rsid w:val="00284AA6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284AA6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table" w:customStyle="1" w:styleId="PanelPrimary">
    <w:name w:val="Panel (Primary)"/>
    <w:basedOn w:val="TableNormal"/>
    <w:uiPriority w:val="99"/>
    <w:rsid w:val="00284AA6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customStyle="1" w:styleId="Tabletext">
    <w:name w:val="Table text"/>
    <w:basedOn w:val="NICEnormalsinglespacing"/>
    <w:rsid w:val="00284AA6"/>
    <w:pPr>
      <w:keepNext/>
      <w:spacing w:after="60"/>
    </w:pPr>
    <w:rPr>
      <w:sz w:val="22"/>
    </w:rPr>
  </w:style>
  <w:style w:type="paragraph" w:customStyle="1" w:styleId="Tablebullet">
    <w:name w:val="Table bullet"/>
    <w:basedOn w:val="Tabletext"/>
    <w:qFormat/>
    <w:rsid w:val="00284AA6"/>
    <w:pPr>
      <w:numPr>
        <w:numId w:val="47"/>
      </w:numPr>
    </w:pPr>
  </w:style>
  <w:style w:type="table" w:styleId="TableGrid">
    <w:name w:val="Table Grid"/>
    <w:basedOn w:val="TableNormal"/>
    <w:rsid w:val="0028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284AA6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5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Normal"/>
    <w:rsid w:val="00284AA6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rsid w:val="00284A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AA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284AA6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4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  <w:lang w:val="x-none" w:eastAsia="en-US"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paragraph" w:styleId="Revision">
    <w:name w:val="Revision"/>
    <w:hidden/>
    <w:uiPriority w:val="99"/>
    <w:semiHidden/>
    <w:rsid w:val="003E5815"/>
    <w:rPr>
      <w:sz w:val="24"/>
      <w:szCs w:val="24"/>
    </w:rPr>
  </w:style>
  <w:style w:type="paragraph" w:customStyle="1" w:styleId="NICEnormal">
    <w:name w:val="NICE normal"/>
    <w:link w:val="NICEnormalChar"/>
    <w:qFormat/>
    <w:rsid w:val="00284AA6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284AA6"/>
    <w:rPr>
      <w:rFonts w:ascii="Arial" w:hAnsi="Arial"/>
      <w:sz w:val="24"/>
      <w:szCs w:val="24"/>
      <w:lang w:eastAsia="en-US"/>
    </w:rPr>
  </w:style>
  <w:style w:type="paragraph" w:customStyle="1" w:styleId="Bulletindent1">
    <w:name w:val="Bullet indent 1"/>
    <w:basedOn w:val="NICEnormal"/>
    <w:link w:val="Bulletindent1Char"/>
    <w:rsid w:val="00284AA6"/>
    <w:pPr>
      <w:numPr>
        <w:numId w:val="35"/>
      </w:numPr>
      <w:spacing w:after="0"/>
    </w:pPr>
  </w:style>
  <w:style w:type="character" w:customStyle="1" w:styleId="Bulletindent1Char">
    <w:name w:val="Bullet indent 1 Char"/>
    <w:link w:val="Bulletindent1"/>
    <w:rsid w:val="00284AA6"/>
    <w:rPr>
      <w:rFonts w:ascii="Arial" w:hAnsi="Arial"/>
      <w:sz w:val="24"/>
      <w:szCs w:val="24"/>
      <w:lang w:eastAsia="en-US"/>
    </w:rPr>
  </w:style>
  <w:style w:type="paragraph" w:customStyle="1" w:styleId="Bulletindent1last">
    <w:name w:val="Bullet indent 1 last"/>
    <w:basedOn w:val="NICEnormal"/>
    <w:next w:val="NICEnormal"/>
    <w:rsid w:val="00284AA6"/>
    <w:pPr>
      <w:numPr>
        <w:numId w:val="36"/>
      </w:numPr>
    </w:pPr>
  </w:style>
  <w:style w:type="paragraph" w:customStyle="1" w:styleId="Bulletindent2">
    <w:name w:val="Bullet indent 2"/>
    <w:basedOn w:val="NICEnormal"/>
    <w:rsid w:val="00284AA6"/>
    <w:pPr>
      <w:numPr>
        <w:ilvl w:val="1"/>
        <w:numId w:val="37"/>
      </w:numPr>
      <w:spacing w:after="0"/>
    </w:pPr>
  </w:style>
  <w:style w:type="paragraph" w:customStyle="1" w:styleId="Bulletindent3">
    <w:name w:val="Bullet indent 3"/>
    <w:basedOn w:val="NICEnormal"/>
    <w:rsid w:val="00284AA6"/>
    <w:pPr>
      <w:numPr>
        <w:ilvl w:val="2"/>
        <w:numId w:val="38"/>
      </w:numPr>
      <w:spacing w:after="0"/>
    </w:pPr>
  </w:style>
  <w:style w:type="paragraph" w:customStyle="1" w:styleId="Bulletleft1">
    <w:name w:val="Bullet left 1"/>
    <w:basedOn w:val="NICEnormal"/>
    <w:qFormat/>
    <w:rsid w:val="00284AA6"/>
    <w:pPr>
      <w:numPr>
        <w:numId w:val="39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rsid w:val="00284AA6"/>
    <w:pPr>
      <w:numPr>
        <w:numId w:val="40"/>
      </w:numPr>
    </w:pPr>
    <w:rPr>
      <w:rFonts w:cs="Arial"/>
    </w:rPr>
  </w:style>
  <w:style w:type="character" w:customStyle="1" w:styleId="Bulletleft1lastChar">
    <w:name w:val="Bullet left 1 last Char"/>
    <w:link w:val="Bulletleft1last"/>
    <w:rsid w:val="00284AA6"/>
    <w:rPr>
      <w:rFonts w:ascii="Arial" w:hAnsi="Arial" w:cs="Arial"/>
      <w:sz w:val="24"/>
      <w:szCs w:val="24"/>
      <w:lang w:eastAsia="en-US"/>
    </w:rPr>
  </w:style>
  <w:style w:type="paragraph" w:customStyle="1" w:styleId="Bulletleft2">
    <w:name w:val="Bullet left 2"/>
    <w:basedOn w:val="NICEnormal"/>
    <w:rsid w:val="00284AA6"/>
    <w:pPr>
      <w:numPr>
        <w:ilvl w:val="1"/>
        <w:numId w:val="41"/>
      </w:numPr>
      <w:spacing w:after="0"/>
    </w:pPr>
  </w:style>
  <w:style w:type="paragraph" w:customStyle="1" w:styleId="Bulletleft3">
    <w:name w:val="Bullet left 3"/>
    <w:basedOn w:val="NICEnormal"/>
    <w:rsid w:val="00284AA6"/>
    <w:pPr>
      <w:numPr>
        <w:ilvl w:val="2"/>
        <w:numId w:val="42"/>
      </w:numPr>
      <w:spacing w:after="0"/>
    </w:pPr>
  </w:style>
  <w:style w:type="paragraph" w:customStyle="1" w:styleId="Documentissuedate">
    <w:name w:val="Document issue date"/>
    <w:basedOn w:val="NICEnormal"/>
    <w:qFormat/>
    <w:rsid w:val="00284AA6"/>
    <w:rPr>
      <w:lang w:val="en-US"/>
    </w:rPr>
  </w:style>
  <w:style w:type="character" w:styleId="FollowedHyperlink">
    <w:name w:val="FollowedHyperlink"/>
    <w:rsid w:val="00284AA6"/>
    <w:rPr>
      <w:color w:val="800080"/>
      <w:u w:val="single"/>
    </w:rPr>
  </w:style>
  <w:style w:type="paragraph" w:customStyle="1" w:styleId="NICEnormalsinglespacing">
    <w:name w:val="NICE normal single spacing"/>
    <w:basedOn w:val="NICEnormal"/>
    <w:rsid w:val="00284AA6"/>
    <w:pPr>
      <w:spacing w:line="240" w:lineRule="auto"/>
    </w:pPr>
  </w:style>
  <w:style w:type="character" w:styleId="FootnoteReference">
    <w:name w:val="footnote reference"/>
    <w:rsid w:val="00284AA6"/>
    <w:rPr>
      <w:vertAlign w:val="superscript"/>
    </w:rPr>
  </w:style>
  <w:style w:type="paragraph" w:styleId="FootnoteText">
    <w:name w:val="footnote text"/>
    <w:basedOn w:val="Normal"/>
    <w:link w:val="FootnoteTextChar"/>
    <w:rsid w:val="00284AA6"/>
    <w:rPr>
      <w:sz w:val="20"/>
      <w:szCs w:val="20"/>
    </w:rPr>
  </w:style>
  <w:style w:type="character" w:customStyle="1" w:styleId="FootnoteTextChar">
    <w:name w:val="Footnote Text Char"/>
    <w:link w:val="FootnoteText"/>
    <w:rsid w:val="00284AA6"/>
    <w:rPr>
      <w:lang w:eastAsia="en-US"/>
    </w:rPr>
  </w:style>
  <w:style w:type="paragraph" w:customStyle="1" w:styleId="Guidanceissuedate">
    <w:name w:val="Guidance issue date"/>
    <w:basedOn w:val="NICEnormal"/>
    <w:qFormat/>
    <w:rsid w:val="00284AA6"/>
    <w:rPr>
      <w:lang w:val="en-US"/>
    </w:rPr>
  </w:style>
  <w:style w:type="paragraph" w:styleId="ListParagraph">
    <w:name w:val="List Paragraph"/>
    <w:basedOn w:val="Normal"/>
    <w:uiPriority w:val="34"/>
    <w:qFormat/>
    <w:rsid w:val="00284AA6"/>
    <w:pPr>
      <w:ind w:left="720"/>
      <w:contextualSpacing/>
    </w:pPr>
    <w:rPr>
      <w:lang w:eastAsia="en-GB"/>
    </w:rPr>
  </w:style>
  <w:style w:type="paragraph" w:customStyle="1" w:styleId="NICEnormalindented">
    <w:name w:val="NICE normal indented"/>
    <w:basedOn w:val="NICEnormal"/>
    <w:rsid w:val="00284AA6"/>
    <w:pPr>
      <w:tabs>
        <w:tab w:val="left" w:pos="1134"/>
      </w:tabs>
      <w:ind w:left="1134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284AA6"/>
    <w:pPr>
      <w:numPr>
        <w:numId w:val="44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284AA6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284AA6"/>
  </w:style>
  <w:style w:type="character" w:customStyle="1" w:styleId="Numberedheading2Char">
    <w:name w:val="Numbered heading 2 Char"/>
    <w:basedOn w:val="Heading2Char"/>
    <w:link w:val="Numberedheading2"/>
    <w:rsid w:val="00284AA6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level2text">
    <w:name w:val="Numbered level 2 text"/>
    <w:basedOn w:val="Normal"/>
    <w:link w:val="Numberedlevel2textChar"/>
    <w:qFormat/>
    <w:rsid w:val="00284AA6"/>
    <w:pPr>
      <w:numPr>
        <w:ilvl w:val="1"/>
        <w:numId w:val="44"/>
      </w:numPr>
      <w:spacing w:after="240" w:line="360" w:lineRule="auto"/>
    </w:pPr>
    <w:rPr>
      <w:rFonts w:ascii="Arial" w:hAnsi="Arial"/>
      <w:bCs/>
      <w:iCs/>
      <w:szCs w:val="28"/>
      <w:lang w:val="x-none"/>
    </w:rPr>
  </w:style>
  <w:style w:type="character" w:customStyle="1" w:styleId="Numberedlevel2textChar">
    <w:name w:val="Numbered level 2 text Char"/>
    <w:link w:val="Numberedlevel2text"/>
    <w:rsid w:val="00284AA6"/>
    <w:rPr>
      <w:rFonts w:ascii="Arial" w:hAnsi="Arial"/>
      <w:bCs/>
      <w:iCs/>
      <w:sz w:val="24"/>
      <w:szCs w:val="28"/>
      <w:lang w:val="x-none" w:eastAsia="en-US"/>
    </w:rPr>
  </w:style>
  <w:style w:type="character" w:styleId="PageNumber">
    <w:name w:val="page number"/>
    <w:rsid w:val="00284AA6"/>
    <w:rPr>
      <w:rFonts w:ascii="Arial" w:hAnsi="Arial"/>
      <w:sz w:val="24"/>
    </w:rPr>
  </w:style>
  <w:style w:type="paragraph" w:customStyle="1" w:styleId="Panelbullet1">
    <w:name w:val="Panel bullet 1"/>
    <w:basedOn w:val="ListParagraph"/>
    <w:qFormat/>
    <w:rsid w:val="00284AA6"/>
    <w:pPr>
      <w:numPr>
        <w:numId w:val="45"/>
      </w:numPr>
      <w:tabs>
        <w:tab w:val="num" w:pos="360"/>
        <w:tab w:val="num" w:pos="1134"/>
      </w:tabs>
    </w:pPr>
    <w:rPr>
      <w:rFonts w:ascii="Arial" w:hAnsi="Arial"/>
      <w:lang w:eastAsia="en-US"/>
    </w:rPr>
  </w:style>
  <w:style w:type="paragraph" w:customStyle="1" w:styleId="Panelhyperlink">
    <w:name w:val="Panel hyperlink"/>
    <w:basedOn w:val="NICEnormal"/>
    <w:next w:val="NICEnormal"/>
    <w:qFormat/>
    <w:rsid w:val="00284AA6"/>
    <w:rPr>
      <w:color w:val="FFFFFF" w:themeColor="background1"/>
      <w:u w:val="single"/>
    </w:rPr>
  </w:style>
  <w:style w:type="paragraph" w:customStyle="1" w:styleId="Paragraphnonumbers">
    <w:name w:val="Paragraph no numbers"/>
    <w:basedOn w:val="Normal"/>
    <w:uiPriority w:val="99"/>
    <w:qFormat/>
    <w:rsid w:val="00284AA6"/>
    <w:pPr>
      <w:spacing w:after="240" w:line="276" w:lineRule="auto"/>
    </w:pPr>
    <w:rPr>
      <w:rFonts w:ascii="Arial" w:hAnsi="Arial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4AA6"/>
    <w:rPr>
      <w:color w:val="808080"/>
    </w:rPr>
  </w:style>
  <w:style w:type="paragraph" w:styleId="Quote">
    <w:name w:val="Quote"/>
    <w:basedOn w:val="NICEnormal"/>
    <w:next w:val="NICEnormal"/>
    <w:link w:val="QuoteChar"/>
    <w:uiPriority w:val="29"/>
    <w:qFormat/>
    <w:rsid w:val="00284AA6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284AA6"/>
    <w:rPr>
      <w:rFonts w:ascii="Arial" w:hAnsi="Arial"/>
      <w:iCs/>
      <w:sz w:val="24"/>
      <w:szCs w:val="24"/>
      <w:lang w:eastAsia="en-US"/>
    </w:rPr>
  </w:style>
  <w:style w:type="paragraph" w:customStyle="1" w:styleId="Section412paragraphs">
    <w:name w:val="Section 4.1.2 paragraphs"/>
    <w:basedOn w:val="NICEnormal"/>
    <w:rsid w:val="00284AA6"/>
    <w:pPr>
      <w:numPr>
        <w:numId w:val="46"/>
      </w:numPr>
    </w:pPr>
  </w:style>
  <w:style w:type="paragraph" w:customStyle="1" w:styleId="Title1">
    <w:name w:val="Title 1"/>
    <w:basedOn w:val="Normal"/>
    <w:qFormat/>
    <w:rsid w:val="00284AA6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86F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5049E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9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28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673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2023-04-24T08:31:00Z</dcterms:created>
  <dcterms:modified xsi:type="dcterms:W3CDTF">2023-04-27T13:06:00Z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2023-04-24T08:32:07Z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fde21f15-5998-46d4-b3bb-aacc800a8c0b</vt:lpwstr>
  </property>
  <property fmtid="{D5CDD505-2E9C-101B-9397-08002B2CF9AE}" pid="8" name="MSIP_Label_c69d85d5-6d9e-4305-a294-1f636ec0f2d6_ContentBits">
    <vt:lpwstr>0</vt:lpwstr>
  </property>
</Properties>
</file>