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52DBF" w14:textId="77777777" w:rsidR="00443081" w:rsidRDefault="00907F7F" w:rsidP="008A73FE">
      <w:pPr>
        <w:pStyle w:val="Paragraphnonumbers"/>
      </w:pPr>
      <w:r>
        <w:rPr>
          <w:noProof/>
        </w:rPr>
        <w:drawing>
          <wp:inline distT="0" distB="0" distL="0" distR="0" wp14:anchorId="1EA65640" wp14:editId="6E47A592">
            <wp:extent cx="2990850" cy="523875"/>
            <wp:effectExtent l="0" t="0" r="0" b="0"/>
            <wp:docPr id="1" name="Picture 1" descr="NICE-Master-72dpi-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CE-Master-72dpi-600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523875"/>
                    </a:xfrm>
                    <a:prstGeom prst="rect">
                      <a:avLst/>
                    </a:prstGeom>
                    <a:noFill/>
                    <a:ln>
                      <a:noFill/>
                    </a:ln>
                  </pic:spPr>
                </pic:pic>
              </a:graphicData>
            </a:graphic>
          </wp:inline>
        </w:drawing>
      </w:r>
    </w:p>
    <w:p w14:paraId="1A38A8A5" w14:textId="77777777" w:rsidR="00907F7F" w:rsidRDefault="00907F7F" w:rsidP="00907F7F">
      <w:pPr>
        <w:pStyle w:val="Heading1"/>
      </w:pPr>
    </w:p>
    <w:p w14:paraId="0AAA7486" w14:textId="77777777" w:rsidR="00907F7F" w:rsidRDefault="00907F7F" w:rsidP="00A1582B">
      <w:pPr>
        <w:pStyle w:val="Title"/>
      </w:pPr>
      <w:bookmarkStart w:id="0" w:name="_Toc17796038"/>
      <w:r w:rsidRPr="00907F7F">
        <w:t xml:space="preserve">Non-Staff </w:t>
      </w:r>
      <w:r w:rsidR="00D8628B">
        <w:t>Reimbursement</w:t>
      </w:r>
      <w:r w:rsidRPr="00907F7F">
        <w:t xml:space="preserve"> Policy</w:t>
      </w:r>
      <w:bookmarkEnd w:id="0"/>
    </w:p>
    <w:p w14:paraId="4844DD18" w14:textId="77777777" w:rsidR="00907F7F" w:rsidRDefault="00907F7F" w:rsidP="00907F7F">
      <w:pPr>
        <w:pStyle w:val="Paragraphnonumbers"/>
        <w:jc w:val="center"/>
        <w:rPr>
          <w:b/>
          <w:sz w:val="32"/>
          <w:szCs w:val="32"/>
        </w:rPr>
      </w:pPr>
    </w:p>
    <w:p w14:paraId="14E2C633" w14:textId="77777777" w:rsidR="00907F7F" w:rsidRDefault="00907F7F" w:rsidP="00907F7F">
      <w:pPr>
        <w:pStyle w:val="Paragraphnonumbers"/>
        <w:jc w:val="center"/>
        <w:rPr>
          <w:b/>
          <w:sz w:val="32"/>
          <w:szCs w:val="32"/>
        </w:rPr>
      </w:pPr>
    </w:p>
    <w:p w14:paraId="5ADA5C41" w14:textId="77777777" w:rsidR="00907F7F" w:rsidRDefault="00907F7F" w:rsidP="00907F7F">
      <w:pPr>
        <w:pStyle w:val="Paragraphnonumbers"/>
        <w:jc w:val="center"/>
        <w:rPr>
          <w:b/>
          <w:sz w:val="32"/>
          <w:szCs w:val="32"/>
        </w:rPr>
      </w:pPr>
    </w:p>
    <w:p w14:paraId="06121FA1" w14:textId="77777777" w:rsidR="00907F7F" w:rsidRDefault="00907F7F" w:rsidP="00907F7F">
      <w:pPr>
        <w:pStyle w:val="Paragraphnonumbers"/>
        <w:jc w:val="center"/>
        <w:rPr>
          <w:b/>
          <w:sz w:val="32"/>
          <w:szCs w:val="32"/>
        </w:rPr>
      </w:pPr>
    </w:p>
    <w:p w14:paraId="00541A31" w14:textId="77777777" w:rsidR="00907F7F" w:rsidRDefault="00907F7F" w:rsidP="00907F7F">
      <w:pPr>
        <w:pStyle w:val="Paragraphnonumbers"/>
        <w:jc w:val="center"/>
        <w:rPr>
          <w:b/>
          <w:sz w:val="32"/>
          <w:szCs w:val="32"/>
        </w:rPr>
      </w:pPr>
    </w:p>
    <w:p w14:paraId="357D6DD8" w14:textId="77777777" w:rsidR="00907F7F" w:rsidRDefault="00907F7F" w:rsidP="00907F7F">
      <w:pPr>
        <w:pStyle w:val="Paragraphnonumbers"/>
        <w:jc w:val="center"/>
        <w:rPr>
          <w:b/>
          <w:sz w:val="32"/>
          <w:szCs w:val="32"/>
        </w:rPr>
      </w:pPr>
    </w:p>
    <w:p w14:paraId="27EBB91C" w14:textId="77777777" w:rsidR="00907F7F" w:rsidRDefault="00907F7F" w:rsidP="00907F7F">
      <w:pPr>
        <w:pStyle w:val="Paragraphnonumbers"/>
        <w:jc w:val="center"/>
        <w:rPr>
          <w:b/>
          <w:sz w:val="32"/>
          <w:szCs w:val="32"/>
        </w:rPr>
      </w:pPr>
    </w:p>
    <w:p w14:paraId="19292D88" w14:textId="77777777" w:rsidR="00907F7F" w:rsidRDefault="00907F7F" w:rsidP="00907F7F">
      <w:pPr>
        <w:pStyle w:val="Paragraphnonumbers"/>
        <w:jc w:val="center"/>
        <w:rPr>
          <w:b/>
          <w:sz w:val="32"/>
          <w:szCs w:val="32"/>
        </w:rPr>
      </w:pPr>
    </w:p>
    <w:p w14:paraId="5BC48363" w14:textId="77777777" w:rsidR="00907F7F" w:rsidRDefault="00907F7F" w:rsidP="00907F7F">
      <w:pPr>
        <w:pStyle w:val="Paragraphnonumbers"/>
        <w:jc w:val="center"/>
        <w:rPr>
          <w:b/>
          <w:sz w:val="32"/>
          <w:szCs w:val="32"/>
        </w:rPr>
      </w:pPr>
    </w:p>
    <w:p w14:paraId="1CF143A9" w14:textId="77777777" w:rsidR="00907F7F" w:rsidRDefault="00907F7F" w:rsidP="00907F7F">
      <w:pPr>
        <w:pStyle w:val="Paragraphnonumbers"/>
        <w:jc w:val="center"/>
        <w:rPr>
          <w:b/>
          <w:sz w:val="32"/>
          <w:szCs w:val="32"/>
        </w:rPr>
      </w:pPr>
    </w:p>
    <w:p w14:paraId="6EBD63F0" w14:textId="77777777" w:rsidR="00907F7F" w:rsidRDefault="00907F7F" w:rsidP="00907F7F">
      <w:pPr>
        <w:pStyle w:val="Paragraphnonumbers"/>
        <w:jc w:val="center"/>
        <w:rPr>
          <w:b/>
          <w:sz w:val="32"/>
          <w:szCs w:val="32"/>
        </w:rPr>
      </w:pPr>
    </w:p>
    <w:p w14:paraId="72AFDB35" w14:textId="77777777" w:rsidR="00907F7F" w:rsidRDefault="00907F7F" w:rsidP="00907F7F">
      <w:pPr>
        <w:pStyle w:val="Paragraphnonumbers"/>
        <w:jc w:val="center"/>
        <w:rPr>
          <w:b/>
          <w:sz w:val="32"/>
          <w:szCs w:val="3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10"/>
      </w:tblGrid>
      <w:tr w:rsidR="00907F7F" w:rsidRPr="00485FE1" w14:paraId="54401968" w14:textId="77777777" w:rsidTr="00365A4D">
        <w:trPr>
          <w:trHeight w:val="965"/>
          <w:jc w:val="right"/>
        </w:trPr>
        <w:tc>
          <w:tcPr>
            <w:tcW w:w="2410" w:type="dxa"/>
          </w:tcPr>
          <w:p w14:paraId="5F79652E" w14:textId="77777777" w:rsidR="00907F7F" w:rsidRPr="00485FE1" w:rsidRDefault="00907F7F" w:rsidP="00365A4D">
            <w:pPr>
              <w:pStyle w:val="Default"/>
              <w:spacing w:after="120"/>
              <w:rPr>
                <w:sz w:val="20"/>
              </w:rPr>
            </w:pPr>
            <w:r w:rsidRPr="00485FE1">
              <w:rPr>
                <w:sz w:val="20"/>
              </w:rPr>
              <w:t xml:space="preserve">Responsible Officer </w:t>
            </w:r>
          </w:p>
        </w:tc>
        <w:tc>
          <w:tcPr>
            <w:tcW w:w="2410" w:type="dxa"/>
          </w:tcPr>
          <w:p w14:paraId="4F2B8953" w14:textId="77777777" w:rsidR="00907F7F" w:rsidRPr="00485FE1" w:rsidRDefault="00907F7F" w:rsidP="00365A4D">
            <w:pPr>
              <w:pStyle w:val="Default"/>
              <w:spacing w:after="120"/>
              <w:rPr>
                <w:i/>
                <w:sz w:val="20"/>
              </w:rPr>
            </w:pPr>
            <w:r w:rsidRPr="00485FE1">
              <w:rPr>
                <w:i/>
                <w:sz w:val="20"/>
              </w:rPr>
              <w:t xml:space="preserve">Business Planning &amp; Resources Director </w:t>
            </w:r>
          </w:p>
        </w:tc>
      </w:tr>
      <w:tr w:rsidR="00907F7F" w:rsidRPr="00485FE1" w14:paraId="14ED82C0" w14:textId="77777777" w:rsidTr="00365A4D">
        <w:trPr>
          <w:trHeight w:val="244"/>
          <w:jc w:val="right"/>
        </w:trPr>
        <w:tc>
          <w:tcPr>
            <w:tcW w:w="2410" w:type="dxa"/>
          </w:tcPr>
          <w:p w14:paraId="3A1B85F8" w14:textId="77777777" w:rsidR="00907F7F" w:rsidRPr="00485FE1" w:rsidRDefault="00907F7F" w:rsidP="00365A4D">
            <w:pPr>
              <w:pStyle w:val="Default"/>
              <w:spacing w:after="120"/>
              <w:rPr>
                <w:sz w:val="20"/>
              </w:rPr>
            </w:pPr>
            <w:r w:rsidRPr="00485FE1">
              <w:rPr>
                <w:sz w:val="20"/>
              </w:rPr>
              <w:t xml:space="preserve">Author </w:t>
            </w:r>
          </w:p>
        </w:tc>
        <w:tc>
          <w:tcPr>
            <w:tcW w:w="2410" w:type="dxa"/>
          </w:tcPr>
          <w:p w14:paraId="4CEF571B" w14:textId="77777777" w:rsidR="00907F7F" w:rsidRPr="00485FE1" w:rsidRDefault="00907F7F" w:rsidP="00365A4D">
            <w:pPr>
              <w:pStyle w:val="Default"/>
              <w:spacing w:after="120"/>
              <w:rPr>
                <w:i/>
                <w:sz w:val="20"/>
              </w:rPr>
            </w:pPr>
            <w:r>
              <w:rPr>
                <w:i/>
                <w:sz w:val="20"/>
              </w:rPr>
              <w:t>Finance</w:t>
            </w:r>
            <w:r w:rsidRPr="00485FE1">
              <w:rPr>
                <w:i/>
                <w:sz w:val="20"/>
              </w:rPr>
              <w:t xml:space="preserve"> </w:t>
            </w:r>
          </w:p>
        </w:tc>
      </w:tr>
      <w:tr w:rsidR="00907F7F" w:rsidRPr="00485FE1" w14:paraId="787D3497" w14:textId="77777777" w:rsidTr="00365A4D">
        <w:trPr>
          <w:trHeight w:val="244"/>
          <w:jc w:val="right"/>
        </w:trPr>
        <w:tc>
          <w:tcPr>
            <w:tcW w:w="2410" w:type="dxa"/>
          </w:tcPr>
          <w:p w14:paraId="76BDAE5A" w14:textId="77777777" w:rsidR="00907F7F" w:rsidRPr="00485FE1" w:rsidRDefault="00907F7F" w:rsidP="00365A4D">
            <w:pPr>
              <w:pStyle w:val="Default"/>
              <w:spacing w:after="120"/>
              <w:rPr>
                <w:sz w:val="20"/>
              </w:rPr>
            </w:pPr>
            <w:r w:rsidRPr="00485FE1">
              <w:rPr>
                <w:sz w:val="20"/>
              </w:rPr>
              <w:t xml:space="preserve">Date effective from </w:t>
            </w:r>
          </w:p>
        </w:tc>
        <w:tc>
          <w:tcPr>
            <w:tcW w:w="2410" w:type="dxa"/>
          </w:tcPr>
          <w:p w14:paraId="65D6B225" w14:textId="588FC8D7" w:rsidR="00907F7F" w:rsidRPr="00485FE1" w:rsidRDefault="00F36A83" w:rsidP="00365A4D">
            <w:pPr>
              <w:pStyle w:val="Default"/>
              <w:spacing w:after="120"/>
              <w:rPr>
                <w:i/>
                <w:sz w:val="20"/>
              </w:rPr>
            </w:pPr>
            <w:r>
              <w:rPr>
                <w:i/>
                <w:sz w:val="20"/>
              </w:rPr>
              <w:t>-</w:t>
            </w:r>
          </w:p>
        </w:tc>
      </w:tr>
      <w:tr w:rsidR="00907F7F" w:rsidRPr="00485FE1" w14:paraId="475ACD0F" w14:textId="77777777" w:rsidTr="00365A4D">
        <w:trPr>
          <w:trHeight w:val="244"/>
          <w:jc w:val="right"/>
        </w:trPr>
        <w:tc>
          <w:tcPr>
            <w:tcW w:w="2410" w:type="dxa"/>
          </w:tcPr>
          <w:p w14:paraId="76578E6C" w14:textId="77777777" w:rsidR="00907F7F" w:rsidRPr="00485FE1" w:rsidRDefault="00907F7F" w:rsidP="00365A4D">
            <w:pPr>
              <w:pStyle w:val="Default"/>
              <w:spacing w:after="120"/>
              <w:rPr>
                <w:sz w:val="20"/>
              </w:rPr>
            </w:pPr>
            <w:r w:rsidRPr="00485FE1">
              <w:rPr>
                <w:sz w:val="20"/>
              </w:rPr>
              <w:t xml:space="preserve">Date last amended </w:t>
            </w:r>
          </w:p>
        </w:tc>
        <w:tc>
          <w:tcPr>
            <w:tcW w:w="2410" w:type="dxa"/>
          </w:tcPr>
          <w:p w14:paraId="17FFB1F5" w14:textId="77777777" w:rsidR="00907F7F" w:rsidRPr="00485FE1" w:rsidRDefault="00765DF5" w:rsidP="00365A4D">
            <w:pPr>
              <w:pStyle w:val="Default"/>
              <w:spacing w:after="120"/>
              <w:rPr>
                <w:i/>
                <w:sz w:val="20"/>
              </w:rPr>
            </w:pPr>
            <w:r>
              <w:rPr>
                <w:i/>
                <w:sz w:val="20"/>
              </w:rPr>
              <w:t>June</w:t>
            </w:r>
            <w:r w:rsidR="00907F7F" w:rsidRPr="00485FE1">
              <w:rPr>
                <w:i/>
                <w:sz w:val="20"/>
              </w:rPr>
              <w:t xml:space="preserve"> 201</w:t>
            </w:r>
            <w:r w:rsidR="00907F7F">
              <w:rPr>
                <w:i/>
                <w:sz w:val="20"/>
              </w:rPr>
              <w:t>8</w:t>
            </w:r>
          </w:p>
        </w:tc>
      </w:tr>
      <w:tr w:rsidR="00907F7F" w:rsidRPr="00485FE1" w14:paraId="4E862366" w14:textId="77777777" w:rsidTr="00365A4D">
        <w:trPr>
          <w:trHeight w:val="249"/>
          <w:jc w:val="right"/>
        </w:trPr>
        <w:tc>
          <w:tcPr>
            <w:tcW w:w="2410" w:type="dxa"/>
          </w:tcPr>
          <w:p w14:paraId="0179961D" w14:textId="77777777" w:rsidR="00907F7F" w:rsidRPr="00485FE1" w:rsidRDefault="00907F7F" w:rsidP="00365A4D">
            <w:pPr>
              <w:pStyle w:val="Default"/>
              <w:spacing w:after="120"/>
              <w:rPr>
                <w:sz w:val="20"/>
              </w:rPr>
            </w:pPr>
            <w:r w:rsidRPr="00485FE1">
              <w:rPr>
                <w:sz w:val="20"/>
              </w:rPr>
              <w:t xml:space="preserve">Review date </w:t>
            </w:r>
          </w:p>
        </w:tc>
        <w:tc>
          <w:tcPr>
            <w:tcW w:w="2410" w:type="dxa"/>
          </w:tcPr>
          <w:p w14:paraId="30808BF6" w14:textId="77777777" w:rsidR="00907F7F" w:rsidRPr="00485FE1" w:rsidRDefault="00765DF5" w:rsidP="00365A4D">
            <w:pPr>
              <w:pStyle w:val="Default"/>
              <w:spacing w:after="120"/>
              <w:rPr>
                <w:i/>
                <w:sz w:val="20"/>
              </w:rPr>
            </w:pPr>
            <w:r>
              <w:rPr>
                <w:i/>
                <w:sz w:val="20"/>
              </w:rPr>
              <w:t xml:space="preserve">June </w:t>
            </w:r>
            <w:r w:rsidR="00907F7F" w:rsidRPr="00485FE1">
              <w:rPr>
                <w:i/>
                <w:sz w:val="20"/>
              </w:rPr>
              <w:t>20</w:t>
            </w:r>
            <w:r w:rsidR="00907F7F">
              <w:rPr>
                <w:i/>
                <w:sz w:val="20"/>
              </w:rPr>
              <w:t>21</w:t>
            </w:r>
          </w:p>
        </w:tc>
      </w:tr>
    </w:tbl>
    <w:p w14:paraId="0B08ECE4" w14:textId="77777777" w:rsidR="00907F7F" w:rsidRDefault="00907F7F" w:rsidP="00907F7F">
      <w:pPr>
        <w:pStyle w:val="Paragraphnonumbers"/>
        <w:jc w:val="center"/>
        <w:rPr>
          <w:b/>
          <w:sz w:val="32"/>
          <w:szCs w:val="32"/>
        </w:rPr>
      </w:pPr>
    </w:p>
    <w:p w14:paraId="7074A71D" w14:textId="77777777" w:rsidR="00907F7F" w:rsidRDefault="00907F7F" w:rsidP="00907F7F">
      <w:pPr>
        <w:pStyle w:val="Paragraphnonumbers"/>
        <w:jc w:val="center"/>
        <w:rPr>
          <w:b/>
          <w:sz w:val="32"/>
          <w:szCs w:val="32"/>
        </w:rPr>
      </w:pPr>
    </w:p>
    <w:sdt>
      <w:sdtPr>
        <w:rPr>
          <w:rFonts w:ascii="Times New Roman" w:eastAsia="Times New Roman" w:hAnsi="Times New Roman" w:cs="Times New Roman"/>
          <w:color w:val="auto"/>
          <w:sz w:val="24"/>
          <w:szCs w:val="24"/>
          <w:lang w:val="en-GB" w:eastAsia="en-GB"/>
        </w:rPr>
        <w:id w:val="444047298"/>
        <w:docPartObj>
          <w:docPartGallery w:val="Table of Contents"/>
          <w:docPartUnique/>
        </w:docPartObj>
      </w:sdtPr>
      <w:sdtEndPr>
        <w:rPr>
          <w:b/>
          <w:bCs/>
          <w:noProof/>
        </w:rPr>
      </w:sdtEndPr>
      <w:sdtContent>
        <w:p w14:paraId="463BFDE5" w14:textId="77777777" w:rsidR="008A73FE" w:rsidRPr="008A73FE" w:rsidRDefault="008A73FE">
          <w:pPr>
            <w:pStyle w:val="TOCHeading"/>
            <w:rPr>
              <w:rStyle w:val="TitleChar"/>
              <w:color w:val="auto"/>
              <w:sz w:val="36"/>
            </w:rPr>
          </w:pPr>
          <w:r w:rsidRPr="008A73FE">
            <w:rPr>
              <w:rStyle w:val="TitleChar"/>
              <w:color w:val="auto"/>
              <w:sz w:val="36"/>
            </w:rPr>
            <w:t>Contents</w:t>
          </w:r>
        </w:p>
        <w:p w14:paraId="2FD98FDC" w14:textId="56F514DE" w:rsidR="006353E8" w:rsidRDefault="008A73FE">
          <w:pPr>
            <w:pStyle w:val="TOC1"/>
            <w:rPr>
              <w:rFonts w:asciiTheme="minorHAnsi" w:eastAsiaTheme="minorEastAsia" w:hAnsiTheme="minorHAnsi" w:cstheme="minorBidi"/>
              <w:noProof/>
              <w:sz w:val="22"/>
              <w:szCs w:val="22"/>
            </w:rPr>
          </w:pPr>
          <w:r w:rsidRPr="008A73FE">
            <w:rPr>
              <w:sz w:val="28"/>
            </w:rPr>
            <w:fldChar w:fldCharType="begin"/>
          </w:r>
          <w:r w:rsidRPr="008A73FE">
            <w:rPr>
              <w:sz w:val="28"/>
            </w:rPr>
            <w:instrText xml:space="preserve"> TOC \o "1-3" \h \z \u </w:instrText>
          </w:r>
          <w:r w:rsidRPr="008A73FE">
            <w:rPr>
              <w:sz w:val="28"/>
            </w:rPr>
            <w:fldChar w:fldCharType="separate"/>
          </w:r>
          <w:hyperlink w:anchor="_Toc17796038" w:history="1">
            <w:r w:rsidR="006353E8" w:rsidRPr="002E08B2">
              <w:rPr>
                <w:rStyle w:val="Hyperlink"/>
                <w:noProof/>
              </w:rPr>
              <w:t>Non-Staff Reimbursement Policy</w:t>
            </w:r>
            <w:r w:rsidR="006353E8">
              <w:rPr>
                <w:noProof/>
                <w:webHidden/>
              </w:rPr>
              <w:tab/>
            </w:r>
            <w:r w:rsidR="006353E8">
              <w:rPr>
                <w:noProof/>
                <w:webHidden/>
              </w:rPr>
              <w:fldChar w:fldCharType="begin"/>
            </w:r>
            <w:r w:rsidR="006353E8">
              <w:rPr>
                <w:noProof/>
                <w:webHidden/>
              </w:rPr>
              <w:instrText xml:space="preserve"> PAGEREF _Toc17796038 \h </w:instrText>
            </w:r>
            <w:r w:rsidR="006353E8">
              <w:rPr>
                <w:noProof/>
                <w:webHidden/>
              </w:rPr>
            </w:r>
            <w:r w:rsidR="006353E8">
              <w:rPr>
                <w:noProof/>
                <w:webHidden/>
              </w:rPr>
              <w:fldChar w:fldCharType="separate"/>
            </w:r>
            <w:r w:rsidR="00AB1326">
              <w:rPr>
                <w:noProof/>
                <w:webHidden/>
              </w:rPr>
              <w:t>1</w:t>
            </w:r>
            <w:r w:rsidR="006353E8">
              <w:rPr>
                <w:noProof/>
                <w:webHidden/>
              </w:rPr>
              <w:fldChar w:fldCharType="end"/>
            </w:r>
          </w:hyperlink>
        </w:p>
        <w:p w14:paraId="4870AF7B" w14:textId="60071327" w:rsidR="006353E8" w:rsidRDefault="00C777A6">
          <w:pPr>
            <w:pStyle w:val="TOC1"/>
            <w:rPr>
              <w:rFonts w:asciiTheme="minorHAnsi" w:eastAsiaTheme="minorEastAsia" w:hAnsiTheme="minorHAnsi" w:cstheme="minorBidi"/>
              <w:noProof/>
              <w:sz w:val="22"/>
              <w:szCs w:val="22"/>
            </w:rPr>
          </w:pPr>
          <w:hyperlink w:anchor="_Toc17796039" w:history="1">
            <w:r w:rsidR="006353E8" w:rsidRPr="002E08B2">
              <w:rPr>
                <w:rStyle w:val="Hyperlink"/>
                <w:noProof/>
              </w:rPr>
              <w:t>Introduction</w:t>
            </w:r>
            <w:r w:rsidR="006353E8">
              <w:rPr>
                <w:noProof/>
                <w:webHidden/>
              </w:rPr>
              <w:tab/>
            </w:r>
            <w:r w:rsidR="006353E8">
              <w:rPr>
                <w:noProof/>
                <w:webHidden/>
              </w:rPr>
              <w:fldChar w:fldCharType="begin"/>
            </w:r>
            <w:r w:rsidR="006353E8">
              <w:rPr>
                <w:noProof/>
                <w:webHidden/>
              </w:rPr>
              <w:instrText xml:space="preserve"> PAGEREF _Toc17796039 \h </w:instrText>
            </w:r>
            <w:r w:rsidR="006353E8">
              <w:rPr>
                <w:noProof/>
                <w:webHidden/>
              </w:rPr>
            </w:r>
            <w:r w:rsidR="006353E8">
              <w:rPr>
                <w:noProof/>
                <w:webHidden/>
              </w:rPr>
              <w:fldChar w:fldCharType="separate"/>
            </w:r>
            <w:r w:rsidR="00AB1326">
              <w:rPr>
                <w:noProof/>
                <w:webHidden/>
              </w:rPr>
              <w:t>3</w:t>
            </w:r>
            <w:r w:rsidR="006353E8">
              <w:rPr>
                <w:noProof/>
                <w:webHidden/>
              </w:rPr>
              <w:fldChar w:fldCharType="end"/>
            </w:r>
          </w:hyperlink>
        </w:p>
        <w:p w14:paraId="2608E33E" w14:textId="07AFB2AA" w:rsidR="006353E8" w:rsidRDefault="00C777A6">
          <w:pPr>
            <w:pStyle w:val="TOC1"/>
            <w:rPr>
              <w:rFonts w:asciiTheme="minorHAnsi" w:eastAsiaTheme="minorEastAsia" w:hAnsiTheme="minorHAnsi" w:cstheme="minorBidi"/>
              <w:noProof/>
              <w:sz w:val="22"/>
              <w:szCs w:val="22"/>
            </w:rPr>
          </w:pPr>
          <w:hyperlink w:anchor="_Toc17796040" w:history="1">
            <w:r w:rsidR="006353E8" w:rsidRPr="002E08B2">
              <w:rPr>
                <w:rStyle w:val="Hyperlink"/>
                <w:noProof/>
              </w:rPr>
              <w:t>Scope</w:t>
            </w:r>
            <w:r w:rsidR="006353E8">
              <w:rPr>
                <w:noProof/>
                <w:webHidden/>
              </w:rPr>
              <w:tab/>
            </w:r>
            <w:r w:rsidR="006353E8">
              <w:rPr>
                <w:noProof/>
                <w:webHidden/>
              </w:rPr>
              <w:fldChar w:fldCharType="begin"/>
            </w:r>
            <w:r w:rsidR="006353E8">
              <w:rPr>
                <w:noProof/>
                <w:webHidden/>
              </w:rPr>
              <w:instrText xml:space="preserve"> PAGEREF _Toc17796040 \h </w:instrText>
            </w:r>
            <w:r w:rsidR="006353E8">
              <w:rPr>
                <w:noProof/>
                <w:webHidden/>
              </w:rPr>
            </w:r>
            <w:r w:rsidR="006353E8">
              <w:rPr>
                <w:noProof/>
                <w:webHidden/>
              </w:rPr>
              <w:fldChar w:fldCharType="separate"/>
            </w:r>
            <w:r w:rsidR="00AB1326">
              <w:rPr>
                <w:noProof/>
                <w:webHidden/>
              </w:rPr>
              <w:t>3</w:t>
            </w:r>
            <w:r w:rsidR="006353E8">
              <w:rPr>
                <w:noProof/>
                <w:webHidden/>
              </w:rPr>
              <w:fldChar w:fldCharType="end"/>
            </w:r>
          </w:hyperlink>
        </w:p>
        <w:p w14:paraId="3E028808" w14:textId="3299CC77" w:rsidR="006353E8" w:rsidRDefault="00C777A6">
          <w:pPr>
            <w:pStyle w:val="TOC1"/>
            <w:rPr>
              <w:rFonts w:asciiTheme="minorHAnsi" w:eastAsiaTheme="minorEastAsia" w:hAnsiTheme="minorHAnsi" w:cstheme="minorBidi"/>
              <w:noProof/>
              <w:sz w:val="22"/>
              <w:szCs w:val="22"/>
            </w:rPr>
          </w:pPr>
          <w:hyperlink w:anchor="_Toc17796041" w:history="1">
            <w:r w:rsidR="006353E8" w:rsidRPr="002E08B2">
              <w:rPr>
                <w:rStyle w:val="Hyperlink"/>
                <w:noProof/>
              </w:rPr>
              <w:t>Section 1 - Travel and accommodation</w:t>
            </w:r>
            <w:r w:rsidR="006353E8">
              <w:rPr>
                <w:noProof/>
                <w:webHidden/>
              </w:rPr>
              <w:tab/>
            </w:r>
            <w:r w:rsidR="006353E8">
              <w:rPr>
                <w:noProof/>
                <w:webHidden/>
              </w:rPr>
              <w:fldChar w:fldCharType="begin"/>
            </w:r>
            <w:r w:rsidR="006353E8">
              <w:rPr>
                <w:noProof/>
                <w:webHidden/>
              </w:rPr>
              <w:instrText xml:space="preserve"> PAGEREF _Toc17796041 \h </w:instrText>
            </w:r>
            <w:r w:rsidR="006353E8">
              <w:rPr>
                <w:noProof/>
                <w:webHidden/>
              </w:rPr>
            </w:r>
            <w:r w:rsidR="006353E8">
              <w:rPr>
                <w:noProof/>
                <w:webHidden/>
              </w:rPr>
              <w:fldChar w:fldCharType="separate"/>
            </w:r>
            <w:r w:rsidR="00AB1326">
              <w:rPr>
                <w:noProof/>
                <w:webHidden/>
              </w:rPr>
              <w:t>3</w:t>
            </w:r>
            <w:r w:rsidR="006353E8">
              <w:rPr>
                <w:noProof/>
                <w:webHidden/>
              </w:rPr>
              <w:fldChar w:fldCharType="end"/>
            </w:r>
          </w:hyperlink>
        </w:p>
        <w:p w14:paraId="022971D4" w14:textId="7DF3BE8D"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42" w:history="1">
            <w:r w:rsidR="006353E8" w:rsidRPr="002E08B2">
              <w:rPr>
                <w:rStyle w:val="Hyperlink"/>
                <w:noProof/>
              </w:rPr>
              <w:t>Rail travel</w:t>
            </w:r>
            <w:r w:rsidR="006353E8">
              <w:rPr>
                <w:noProof/>
                <w:webHidden/>
              </w:rPr>
              <w:tab/>
            </w:r>
            <w:r w:rsidR="006353E8">
              <w:rPr>
                <w:noProof/>
                <w:webHidden/>
              </w:rPr>
              <w:fldChar w:fldCharType="begin"/>
            </w:r>
            <w:r w:rsidR="006353E8">
              <w:rPr>
                <w:noProof/>
                <w:webHidden/>
              </w:rPr>
              <w:instrText xml:space="preserve"> PAGEREF _Toc17796042 \h </w:instrText>
            </w:r>
            <w:r w:rsidR="006353E8">
              <w:rPr>
                <w:noProof/>
                <w:webHidden/>
              </w:rPr>
            </w:r>
            <w:r w:rsidR="006353E8">
              <w:rPr>
                <w:noProof/>
                <w:webHidden/>
              </w:rPr>
              <w:fldChar w:fldCharType="separate"/>
            </w:r>
            <w:r w:rsidR="00AB1326">
              <w:rPr>
                <w:noProof/>
                <w:webHidden/>
              </w:rPr>
              <w:t>4</w:t>
            </w:r>
            <w:r w:rsidR="006353E8">
              <w:rPr>
                <w:noProof/>
                <w:webHidden/>
              </w:rPr>
              <w:fldChar w:fldCharType="end"/>
            </w:r>
          </w:hyperlink>
        </w:p>
        <w:p w14:paraId="0B007A1B" w14:textId="21C18A54"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43" w:history="1">
            <w:r w:rsidR="006353E8" w:rsidRPr="002E08B2">
              <w:rPr>
                <w:rStyle w:val="Hyperlink"/>
                <w:noProof/>
              </w:rPr>
              <w:t>Other public transport (e.g. tube, tram or bus)</w:t>
            </w:r>
            <w:r w:rsidR="006353E8">
              <w:rPr>
                <w:noProof/>
                <w:webHidden/>
              </w:rPr>
              <w:tab/>
            </w:r>
            <w:r w:rsidR="006353E8">
              <w:rPr>
                <w:noProof/>
                <w:webHidden/>
              </w:rPr>
              <w:fldChar w:fldCharType="begin"/>
            </w:r>
            <w:r w:rsidR="006353E8">
              <w:rPr>
                <w:noProof/>
                <w:webHidden/>
              </w:rPr>
              <w:instrText xml:space="preserve"> PAGEREF _Toc17796043 \h </w:instrText>
            </w:r>
            <w:r w:rsidR="006353E8">
              <w:rPr>
                <w:noProof/>
                <w:webHidden/>
              </w:rPr>
            </w:r>
            <w:r w:rsidR="006353E8">
              <w:rPr>
                <w:noProof/>
                <w:webHidden/>
              </w:rPr>
              <w:fldChar w:fldCharType="separate"/>
            </w:r>
            <w:r w:rsidR="00AB1326">
              <w:rPr>
                <w:noProof/>
                <w:webHidden/>
              </w:rPr>
              <w:t>5</w:t>
            </w:r>
            <w:r w:rsidR="006353E8">
              <w:rPr>
                <w:noProof/>
                <w:webHidden/>
              </w:rPr>
              <w:fldChar w:fldCharType="end"/>
            </w:r>
          </w:hyperlink>
        </w:p>
        <w:p w14:paraId="2C59181B" w14:textId="10FDFF32"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44" w:history="1">
            <w:r w:rsidR="006353E8" w:rsidRPr="002E08B2">
              <w:rPr>
                <w:rStyle w:val="Hyperlink"/>
                <w:noProof/>
              </w:rPr>
              <w:t>Taxis</w:t>
            </w:r>
            <w:r w:rsidR="006353E8">
              <w:rPr>
                <w:noProof/>
                <w:webHidden/>
              </w:rPr>
              <w:tab/>
            </w:r>
            <w:r w:rsidR="006353E8">
              <w:rPr>
                <w:noProof/>
                <w:webHidden/>
              </w:rPr>
              <w:fldChar w:fldCharType="begin"/>
            </w:r>
            <w:r w:rsidR="006353E8">
              <w:rPr>
                <w:noProof/>
                <w:webHidden/>
              </w:rPr>
              <w:instrText xml:space="preserve"> PAGEREF _Toc17796044 \h </w:instrText>
            </w:r>
            <w:r w:rsidR="006353E8">
              <w:rPr>
                <w:noProof/>
                <w:webHidden/>
              </w:rPr>
            </w:r>
            <w:r w:rsidR="006353E8">
              <w:rPr>
                <w:noProof/>
                <w:webHidden/>
              </w:rPr>
              <w:fldChar w:fldCharType="separate"/>
            </w:r>
            <w:r w:rsidR="00AB1326">
              <w:rPr>
                <w:noProof/>
                <w:webHidden/>
              </w:rPr>
              <w:t>5</w:t>
            </w:r>
            <w:r w:rsidR="006353E8">
              <w:rPr>
                <w:noProof/>
                <w:webHidden/>
              </w:rPr>
              <w:fldChar w:fldCharType="end"/>
            </w:r>
          </w:hyperlink>
        </w:p>
        <w:p w14:paraId="70FE9A6A" w14:textId="0E298C7D"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45" w:history="1">
            <w:r w:rsidR="006353E8" w:rsidRPr="002E08B2">
              <w:rPr>
                <w:rStyle w:val="Hyperlink"/>
                <w:noProof/>
              </w:rPr>
              <w:t>Air travel</w:t>
            </w:r>
            <w:r w:rsidR="006353E8">
              <w:rPr>
                <w:noProof/>
                <w:webHidden/>
              </w:rPr>
              <w:tab/>
            </w:r>
            <w:r w:rsidR="006353E8">
              <w:rPr>
                <w:noProof/>
                <w:webHidden/>
              </w:rPr>
              <w:fldChar w:fldCharType="begin"/>
            </w:r>
            <w:r w:rsidR="006353E8">
              <w:rPr>
                <w:noProof/>
                <w:webHidden/>
              </w:rPr>
              <w:instrText xml:space="preserve"> PAGEREF _Toc17796045 \h </w:instrText>
            </w:r>
            <w:r w:rsidR="006353E8">
              <w:rPr>
                <w:noProof/>
                <w:webHidden/>
              </w:rPr>
            </w:r>
            <w:r w:rsidR="006353E8">
              <w:rPr>
                <w:noProof/>
                <w:webHidden/>
              </w:rPr>
              <w:fldChar w:fldCharType="separate"/>
            </w:r>
            <w:r w:rsidR="00AB1326">
              <w:rPr>
                <w:noProof/>
                <w:webHidden/>
              </w:rPr>
              <w:t>6</w:t>
            </w:r>
            <w:r w:rsidR="006353E8">
              <w:rPr>
                <w:noProof/>
                <w:webHidden/>
              </w:rPr>
              <w:fldChar w:fldCharType="end"/>
            </w:r>
          </w:hyperlink>
        </w:p>
        <w:p w14:paraId="7276C48F" w14:textId="5D0B8D9A"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46" w:history="1">
            <w:r w:rsidR="006353E8" w:rsidRPr="002E08B2">
              <w:rPr>
                <w:rStyle w:val="Hyperlink"/>
                <w:rFonts w:cs="Arial"/>
                <w:noProof/>
              </w:rPr>
              <w:t>Car use</w:t>
            </w:r>
            <w:r w:rsidR="006353E8">
              <w:rPr>
                <w:noProof/>
                <w:webHidden/>
              </w:rPr>
              <w:tab/>
            </w:r>
            <w:r w:rsidR="006353E8">
              <w:rPr>
                <w:noProof/>
                <w:webHidden/>
              </w:rPr>
              <w:fldChar w:fldCharType="begin"/>
            </w:r>
            <w:r w:rsidR="006353E8">
              <w:rPr>
                <w:noProof/>
                <w:webHidden/>
              </w:rPr>
              <w:instrText xml:space="preserve"> PAGEREF _Toc17796046 \h </w:instrText>
            </w:r>
            <w:r w:rsidR="006353E8">
              <w:rPr>
                <w:noProof/>
                <w:webHidden/>
              </w:rPr>
            </w:r>
            <w:r w:rsidR="006353E8">
              <w:rPr>
                <w:noProof/>
                <w:webHidden/>
              </w:rPr>
              <w:fldChar w:fldCharType="separate"/>
            </w:r>
            <w:r w:rsidR="00AB1326">
              <w:rPr>
                <w:noProof/>
                <w:webHidden/>
              </w:rPr>
              <w:t>6</w:t>
            </w:r>
            <w:r w:rsidR="006353E8">
              <w:rPr>
                <w:noProof/>
                <w:webHidden/>
              </w:rPr>
              <w:fldChar w:fldCharType="end"/>
            </w:r>
          </w:hyperlink>
        </w:p>
        <w:p w14:paraId="515FA7B2" w14:textId="19480861"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47" w:history="1">
            <w:r w:rsidR="006353E8" w:rsidRPr="002E08B2">
              <w:rPr>
                <w:rStyle w:val="Hyperlink"/>
                <w:noProof/>
              </w:rPr>
              <w:t>Bicycle use</w:t>
            </w:r>
            <w:r w:rsidR="006353E8">
              <w:rPr>
                <w:noProof/>
                <w:webHidden/>
              </w:rPr>
              <w:tab/>
            </w:r>
            <w:r w:rsidR="006353E8">
              <w:rPr>
                <w:noProof/>
                <w:webHidden/>
              </w:rPr>
              <w:fldChar w:fldCharType="begin"/>
            </w:r>
            <w:r w:rsidR="006353E8">
              <w:rPr>
                <w:noProof/>
                <w:webHidden/>
              </w:rPr>
              <w:instrText xml:space="preserve"> PAGEREF _Toc17796047 \h </w:instrText>
            </w:r>
            <w:r w:rsidR="006353E8">
              <w:rPr>
                <w:noProof/>
                <w:webHidden/>
              </w:rPr>
            </w:r>
            <w:r w:rsidR="006353E8">
              <w:rPr>
                <w:noProof/>
                <w:webHidden/>
              </w:rPr>
              <w:fldChar w:fldCharType="separate"/>
            </w:r>
            <w:r w:rsidR="00AB1326">
              <w:rPr>
                <w:noProof/>
                <w:webHidden/>
              </w:rPr>
              <w:t>7</w:t>
            </w:r>
            <w:r w:rsidR="006353E8">
              <w:rPr>
                <w:noProof/>
                <w:webHidden/>
              </w:rPr>
              <w:fldChar w:fldCharType="end"/>
            </w:r>
          </w:hyperlink>
        </w:p>
        <w:p w14:paraId="5DB13A58" w14:textId="7DAD9AAF"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48" w:history="1">
            <w:r w:rsidR="006353E8" w:rsidRPr="002E08B2">
              <w:rPr>
                <w:rStyle w:val="Hyperlink"/>
                <w:noProof/>
              </w:rPr>
              <w:t>Accommodation</w:t>
            </w:r>
            <w:r w:rsidR="006353E8">
              <w:rPr>
                <w:noProof/>
                <w:webHidden/>
              </w:rPr>
              <w:tab/>
            </w:r>
            <w:r w:rsidR="006353E8">
              <w:rPr>
                <w:noProof/>
                <w:webHidden/>
              </w:rPr>
              <w:fldChar w:fldCharType="begin"/>
            </w:r>
            <w:r w:rsidR="006353E8">
              <w:rPr>
                <w:noProof/>
                <w:webHidden/>
              </w:rPr>
              <w:instrText xml:space="preserve"> PAGEREF _Toc17796048 \h </w:instrText>
            </w:r>
            <w:r w:rsidR="006353E8">
              <w:rPr>
                <w:noProof/>
                <w:webHidden/>
              </w:rPr>
            </w:r>
            <w:r w:rsidR="006353E8">
              <w:rPr>
                <w:noProof/>
                <w:webHidden/>
              </w:rPr>
              <w:fldChar w:fldCharType="separate"/>
            </w:r>
            <w:r w:rsidR="00AB1326">
              <w:rPr>
                <w:noProof/>
                <w:webHidden/>
              </w:rPr>
              <w:t>7</w:t>
            </w:r>
            <w:r w:rsidR="006353E8">
              <w:rPr>
                <w:noProof/>
                <w:webHidden/>
              </w:rPr>
              <w:fldChar w:fldCharType="end"/>
            </w:r>
          </w:hyperlink>
        </w:p>
        <w:p w14:paraId="73182446" w14:textId="09533DDF"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49" w:history="1">
            <w:r w:rsidR="006353E8" w:rsidRPr="002E08B2">
              <w:rPr>
                <w:rStyle w:val="Hyperlink"/>
                <w:noProof/>
              </w:rPr>
              <w:t>Rechargeable activities</w:t>
            </w:r>
            <w:r w:rsidR="006353E8">
              <w:rPr>
                <w:noProof/>
                <w:webHidden/>
              </w:rPr>
              <w:tab/>
            </w:r>
            <w:r w:rsidR="006353E8">
              <w:rPr>
                <w:noProof/>
                <w:webHidden/>
              </w:rPr>
              <w:fldChar w:fldCharType="begin"/>
            </w:r>
            <w:r w:rsidR="006353E8">
              <w:rPr>
                <w:noProof/>
                <w:webHidden/>
              </w:rPr>
              <w:instrText xml:space="preserve"> PAGEREF _Toc17796049 \h </w:instrText>
            </w:r>
            <w:r w:rsidR="006353E8">
              <w:rPr>
                <w:noProof/>
                <w:webHidden/>
              </w:rPr>
            </w:r>
            <w:r w:rsidR="006353E8">
              <w:rPr>
                <w:noProof/>
                <w:webHidden/>
              </w:rPr>
              <w:fldChar w:fldCharType="separate"/>
            </w:r>
            <w:r w:rsidR="00AB1326">
              <w:rPr>
                <w:noProof/>
                <w:webHidden/>
              </w:rPr>
              <w:t>8</w:t>
            </w:r>
            <w:r w:rsidR="006353E8">
              <w:rPr>
                <w:noProof/>
                <w:webHidden/>
              </w:rPr>
              <w:fldChar w:fldCharType="end"/>
            </w:r>
          </w:hyperlink>
        </w:p>
        <w:p w14:paraId="00347743" w14:textId="1BFD807E" w:rsidR="006353E8" w:rsidRDefault="00C777A6">
          <w:pPr>
            <w:pStyle w:val="TOC1"/>
            <w:rPr>
              <w:rFonts w:asciiTheme="minorHAnsi" w:eastAsiaTheme="minorEastAsia" w:hAnsiTheme="minorHAnsi" w:cstheme="minorBidi"/>
              <w:noProof/>
              <w:sz w:val="22"/>
              <w:szCs w:val="22"/>
            </w:rPr>
          </w:pPr>
          <w:hyperlink w:anchor="_Toc17796050" w:history="1">
            <w:r w:rsidR="006353E8" w:rsidRPr="002E08B2">
              <w:rPr>
                <w:rStyle w:val="Hyperlink"/>
                <w:noProof/>
              </w:rPr>
              <w:t>Section 2 – Subsistence, carers, additional support and incidentals</w:t>
            </w:r>
            <w:r w:rsidR="006353E8">
              <w:rPr>
                <w:noProof/>
                <w:webHidden/>
              </w:rPr>
              <w:tab/>
            </w:r>
            <w:r w:rsidR="006353E8">
              <w:rPr>
                <w:noProof/>
                <w:webHidden/>
              </w:rPr>
              <w:fldChar w:fldCharType="begin"/>
            </w:r>
            <w:r w:rsidR="006353E8">
              <w:rPr>
                <w:noProof/>
                <w:webHidden/>
              </w:rPr>
              <w:instrText xml:space="preserve"> PAGEREF _Toc17796050 \h </w:instrText>
            </w:r>
            <w:r w:rsidR="006353E8">
              <w:rPr>
                <w:noProof/>
                <w:webHidden/>
              </w:rPr>
            </w:r>
            <w:r w:rsidR="006353E8">
              <w:rPr>
                <w:noProof/>
                <w:webHidden/>
              </w:rPr>
              <w:fldChar w:fldCharType="separate"/>
            </w:r>
            <w:r w:rsidR="00AB1326">
              <w:rPr>
                <w:noProof/>
                <w:webHidden/>
              </w:rPr>
              <w:t>8</w:t>
            </w:r>
            <w:r w:rsidR="006353E8">
              <w:rPr>
                <w:noProof/>
                <w:webHidden/>
              </w:rPr>
              <w:fldChar w:fldCharType="end"/>
            </w:r>
          </w:hyperlink>
        </w:p>
        <w:p w14:paraId="77CFF31E" w14:textId="470BEBDD"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51" w:history="1">
            <w:r w:rsidR="006353E8" w:rsidRPr="002E08B2">
              <w:rPr>
                <w:rStyle w:val="Hyperlink"/>
                <w:noProof/>
              </w:rPr>
              <w:t>Subsistence</w:t>
            </w:r>
            <w:r w:rsidR="006353E8">
              <w:rPr>
                <w:noProof/>
                <w:webHidden/>
              </w:rPr>
              <w:tab/>
            </w:r>
            <w:r w:rsidR="006353E8">
              <w:rPr>
                <w:noProof/>
                <w:webHidden/>
              </w:rPr>
              <w:fldChar w:fldCharType="begin"/>
            </w:r>
            <w:r w:rsidR="006353E8">
              <w:rPr>
                <w:noProof/>
                <w:webHidden/>
              </w:rPr>
              <w:instrText xml:space="preserve"> PAGEREF _Toc17796051 \h </w:instrText>
            </w:r>
            <w:r w:rsidR="006353E8">
              <w:rPr>
                <w:noProof/>
                <w:webHidden/>
              </w:rPr>
            </w:r>
            <w:r w:rsidR="006353E8">
              <w:rPr>
                <w:noProof/>
                <w:webHidden/>
              </w:rPr>
              <w:fldChar w:fldCharType="separate"/>
            </w:r>
            <w:r w:rsidR="00AB1326">
              <w:rPr>
                <w:noProof/>
                <w:webHidden/>
              </w:rPr>
              <w:t>8</w:t>
            </w:r>
            <w:r w:rsidR="006353E8">
              <w:rPr>
                <w:noProof/>
                <w:webHidden/>
              </w:rPr>
              <w:fldChar w:fldCharType="end"/>
            </w:r>
          </w:hyperlink>
        </w:p>
        <w:p w14:paraId="7FAEC56D" w14:textId="3521F2CF"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52" w:history="1">
            <w:r w:rsidR="006353E8" w:rsidRPr="002E08B2">
              <w:rPr>
                <w:rStyle w:val="Hyperlink"/>
                <w:noProof/>
              </w:rPr>
              <w:t>Carers, support worker and childcare expenses</w:t>
            </w:r>
            <w:r w:rsidR="006353E8">
              <w:rPr>
                <w:noProof/>
                <w:webHidden/>
              </w:rPr>
              <w:tab/>
            </w:r>
            <w:r w:rsidR="006353E8">
              <w:rPr>
                <w:noProof/>
                <w:webHidden/>
              </w:rPr>
              <w:fldChar w:fldCharType="begin"/>
            </w:r>
            <w:r w:rsidR="006353E8">
              <w:rPr>
                <w:noProof/>
                <w:webHidden/>
              </w:rPr>
              <w:instrText xml:space="preserve"> PAGEREF _Toc17796052 \h </w:instrText>
            </w:r>
            <w:r w:rsidR="006353E8">
              <w:rPr>
                <w:noProof/>
                <w:webHidden/>
              </w:rPr>
            </w:r>
            <w:r w:rsidR="006353E8">
              <w:rPr>
                <w:noProof/>
                <w:webHidden/>
              </w:rPr>
              <w:fldChar w:fldCharType="separate"/>
            </w:r>
            <w:r w:rsidR="00AB1326">
              <w:rPr>
                <w:noProof/>
                <w:webHidden/>
              </w:rPr>
              <w:t>9</w:t>
            </w:r>
            <w:r w:rsidR="006353E8">
              <w:rPr>
                <w:noProof/>
                <w:webHidden/>
              </w:rPr>
              <w:fldChar w:fldCharType="end"/>
            </w:r>
          </w:hyperlink>
        </w:p>
        <w:p w14:paraId="6ED8D4AA" w14:textId="5277B5A8"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53" w:history="1">
            <w:r w:rsidR="006353E8" w:rsidRPr="002E08B2">
              <w:rPr>
                <w:rStyle w:val="Hyperlink"/>
                <w:noProof/>
              </w:rPr>
              <w:t>Additional support on NICE’s premises</w:t>
            </w:r>
            <w:r w:rsidR="006353E8">
              <w:rPr>
                <w:noProof/>
                <w:webHidden/>
              </w:rPr>
              <w:tab/>
            </w:r>
            <w:r w:rsidR="006353E8">
              <w:rPr>
                <w:noProof/>
                <w:webHidden/>
              </w:rPr>
              <w:fldChar w:fldCharType="begin"/>
            </w:r>
            <w:r w:rsidR="006353E8">
              <w:rPr>
                <w:noProof/>
                <w:webHidden/>
              </w:rPr>
              <w:instrText xml:space="preserve"> PAGEREF _Toc17796053 \h </w:instrText>
            </w:r>
            <w:r w:rsidR="006353E8">
              <w:rPr>
                <w:noProof/>
                <w:webHidden/>
              </w:rPr>
            </w:r>
            <w:r w:rsidR="006353E8">
              <w:rPr>
                <w:noProof/>
                <w:webHidden/>
              </w:rPr>
              <w:fldChar w:fldCharType="separate"/>
            </w:r>
            <w:r w:rsidR="00AB1326">
              <w:rPr>
                <w:noProof/>
                <w:webHidden/>
              </w:rPr>
              <w:t>10</w:t>
            </w:r>
            <w:r w:rsidR="006353E8">
              <w:rPr>
                <w:noProof/>
                <w:webHidden/>
              </w:rPr>
              <w:fldChar w:fldCharType="end"/>
            </w:r>
          </w:hyperlink>
        </w:p>
        <w:p w14:paraId="0F637785" w14:textId="4B1B69AE"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54" w:history="1">
            <w:r w:rsidR="006353E8" w:rsidRPr="002E08B2">
              <w:rPr>
                <w:rStyle w:val="Hyperlink"/>
                <w:noProof/>
              </w:rPr>
              <w:t>Incidental and other business expenses</w:t>
            </w:r>
            <w:r w:rsidR="006353E8">
              <w:rPr>
                <w:noProof/>
                <w:webHidden/>
              </w:rPr>
              <w:tab/>
            </w:r>
            <w:r w:rsidR="006353E8">
              <w:rPr>
                <w:noProof/>
                <w:webHidden/>
              </w:rPr>
              <w:fldChar w:fldCharType="begin"/>
            </w:r>
            <w:r w:rsidR="006353E8">
              <w:rPr>
                <w:noProof/>
                <w:webHidden/>
              </w:rPr>
              <w:instrText xml:space="preserve"> PAGEREF _Toc17796054 \h </w:instrText>
            </w:r>
            <w:r w:rsidR="006353E8">
              <w:rPr>
                <w:noProof/>
                <w:webHidden/>
              </w:rPr>
            </w:r>
            <w:r w:rsidR="006353E8">
              <w:rPr>
                <w:noProof/>
                <w:webHidden/>
              </w:rPr>
              <w:fldChar w:fldCharType="separate"/>
            </w:r>
            <w:r w:rsidR="00AB1326">
              <w:rPr>
                <w:noProof/>
                <w:webHidden/>
              </w:rPr>
              <w:t>10</w:t>
            </w:r>
            <w:r w:rsidR="006353E8">
              <w:rPr>
                <w:noProof/>
                <w:webHidden/>
              </w:rPr>
              <w:fldChar w:fldCharType="end"/>
            </w:r>
          </w:hyperlink>
        </w:p>
        <w:p w14:paraId="75ECE33C" w14:textId="4BCD09FF" w:rsidR="006353E8" w:rsidRDefault="00C777A6">
          <w:pPr>
            <w:pStyle w:val="TOC1"/>
            <w:rPr>
              <w:rFonts w:asciiTheme="minorHAnsi" w:eastAsiaTheme="minorEastAsia" w:hAnsiTheme="minorHAnsi" w:cstheme="minorBidi"/>
              <w:noProof/>
              <w:sz w:val="22"/>
              <w:szCs w:val="22"/>
            </w:rPr>
          </w:pPr>
          <w:hyperlink w:anchor="_Toc17796055" w:history="1">
            <w:r w:rsidR="006353E8" w:rsidRPr="002E08B2">
              <w:rPr>
                <w:rStyle w:val="Hyperlink"/>
                <w:rFonts w:cs="Arial"/>
                <w:noProof/>
              </w:rPr>
              <w:t>Section 3 – Payments and reimbursements</w:t>
            </w:r>
            <w:r w:rsidR="006353E8">
              <w:rPr>
                <w:noProof/>
                <w:webHidden/>
              </w:rPr>
              <w:tab/>
            </w:r>
            <w:r w:rsidR="006353E8">
              <w:rPr>
                <w:noProof/>
                <w:webHidden/>
              </w:rPr>
              <w:fldChar w:fldCharType="begin"/>
            </w:r>
            <w:r w:rsidR="006353E8">
              <w:rPr>
                <w:noProof/>
                <w:webHidden/>
              </w:rPr>
              <w:instrText xml:space="preserve"> PAGEREF _Toc17796055 \h </w:instrText>
            </w:r>
            <w:r w:rsidR="006353E8">
              <w:rPr>
                <w:noProof/>
                <w:webHidden/>
              </w:rPr>
            </w:r>
            <w:r w:rsidR="006353E8">
              <w:rPr>
                <w:noProof/>
                <w:webHidden/>
              </w:rPr>
              <w:fldChar w:fldCharType="separate"/>
            </w:r>
            <w:r w:rsidR="00AB1326">
              <w:rPr>
                <w:noProof/>
                <w:webHidden/>
              </w:rPr>
              <w:t>10</w:t>
            </w:r>
            <w:r w:rsidR="006353E8">
              <w:rPr>
                <w:noProof/>
                <w:webHidden/>
              </w:rPr>
              <w:fldChar w:fldCharType="end"/>
            </w:r>
          </w:hyperlink>
        </w:p>
        <w:p w14:paraId="1BD65E4C" w14:textId="2D9B64C0"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56" w:history="1">
            <w:r w:rsidR="006353E8" w:rsidRPr="002E08B2">
              <w:rPr>
                <w:rStyle w:val="Hyperlink"/>
                <w:rFonts w:cs="Arial"/>
                <w:noProof/>
              </w:rPr>
              <w:t>Lay contributor payments</w:t>
            </w:r>
            <w:r w:rsidR="006353E8">
              <w:rPr>
                <w:noProof/>
                <w:webHidden/>
              </w:rPr>
              <w:tab/>
            </w:r>
            <w:r w:rsidR="006353E8">
              <w:rPr>
                <w:noProof/>
                <w:webHidden/>
              </w:rPr>
              <w:fldChar w:fldCharType="begin"/>
            </w:r>
            <w:r w:rsidR="006353E8">
              <w:rPr>
                <w:noProof/>
                <w:webHidden/>
              </w:rPr>
              <w:instrText xml:space="preserve"> PAGEREF _Toc17796056 \h </w:instrText>
            </w:r>
            <w:r w:rsidR="006353E8">
              <w:rPr>
                <w:noProof/>
                <w:webHidden/>
              </w:rPr>
            </w:r>
            <w:r w:rsidR="006353E8">
              <w:rPr>
                <w:noProof/>
                <w:webHidden/>
              </w:rPr>
              <w:fldChar w:fldCharType="separate"/>
            </w:r>
            <w:r w:rsidR="00AB1326">
              <w:rPr>
                <w:noProof/>
                <w:webHidden/>
              </w:rPr>
              <w:t>10</w:t>
            </w:r>
            <w:r w:rsidR="006353E8">
              <w:rPr>
                <w:noProof/>
                <w:webHidden/>
              </w:rPr>
              <w:fldChar w:fldCharType="end"/>
            </w:r>
          </w:hyperlink>
        </w:p>
        <w:p w14:paraId="09EC59DC" w14:textId="47E319DC"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57" w:history="1">
            <w:r w:rsidR="006353E8" w:rsidRPr="002E08B2">
              <w:rPr>
                <w:rStyle w:val="Hyperlink"/>
                <w:noProof/>
              </w:rPr>
              <w:t>Locum backfill reimbursements to NHS GP practices</w:t>
            </w:r>
            <w:r w:rsidR="006353E8">
              <w:rPr>
                <w:noProof/>
                <w:webHidden/>
              </w:rPr>
              <w:tab/>
            </w:r>
            <w:r w:rsidR="006353E8">
              <w:rPr>
                <w:noProof/>
                <w:webHidden/>
              </w:rPr>
              <w:fldChar w:fldCharType="begin"/>
            </w:r>
            <w:r w:rsidR="006353E8">
              <w:rPr>
                <w:noProof/>
                <w:webHidden/>
              </w:rPr>
              <w:instrText xml:space="preserve"> PAGEREF _Toc17796057 \h </w:instrText>
            </w:r>
            <w:r w:rsidR="006353E8">
              <w:rPr>
                <w:noProof/>
                <w:webHidden/>
              </w:rPr>
            </w:r>
            <w:r w:rsidR="006353E8">
              <w:rPr>
                <w:noProof/>
                <w:webHidden/>
              </w:rPr>
              <w:fldChar w:fldCharType="separate"/>
            </w:r>
            <w:r w:rsidR="00AB1326">
              <w:rPr>
                <w:noProof/>
                <w:webHidden/>
              </w:rPr>
              <w:t>12</w:t>
            </w:r>
            <w:r w:rsidR="006353E8">
              <w:rPr>
                <w:noProof/>
                <w:webHidden/>
              </w:rPr>
              <w:fldChar w:fldCharType="end"/>
            </w:r>
          </w:hyperlink>
        </w:p>
        <w:p w14:paraId="4B401501" w14:textId="08B2A2DD"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58" w:history="1">
            <w:r w:rsidR="006353E8" w:rsidRPr="002E08B2">
              <w:rPr>
                <w:rStyle w:val="Hyperlink"/>
                <w:noProof/>
              </w:rPr>
              <w:t>Self-employed NHS locums attending NICE’s committees</w:t>
            </w:r>
            <w:r w:rsidR="006353E8">
              <w:rPr>
                <w:noProof/>
                <w:webHidden/>
              </w:rPr>
              <w:tab/>
            </w:r>
            <w:r w:rsidR="006353E8">
              <w:rPr>
                <w:noProof/>
                <w:webHidden/>
              </w:rPr>
              <w:fldChar w:fldCharType="begin"/>
            </w:r>
            <w:r w:rsidR="006353E8">
              <w:rPr>
                <w:noProof/>
                <w:webHidden/>
              </w:rPr>
              <w:instrText xml:space="preserve"> PAGEREF _Toc17796058 \h </w:instrText>
            </w:r>
            <w:r w:rsidR="006353E8">
              <w:rPr>
                <w:noProof/>
                <w:webHidden/>
              </w:rPr>
            </w:r>
            <w:r w:rsidR="006353E8">
              <w:rPr>
                <w:noProof/>
                <w:webHidden/>
              </w:rPr>
              <w:fldChar w:fldCharType="separate"/>
            </w:r>
            <w:r w:rsidR="00AB1326">
              <w:rPr>
                <w:noProof/>
                <w:webHidden/>
              </w:rPr>
              <w:t>13</w:t>
            </w:r>
            <w:r w:rsidR="006353E8">
              <w:rPr>
                <w:noProof/>
                <w:webHidden/>
              </w:rPr>
              <w:fldChar w:fldCharType="end"/>
            </w:r>
          </w:hyperlink>
        </w:p>
        <w:p w14:paraId="74729729" w14:textId="594EC4ED" w:rsidR="006353E8" w:rsidRDefault="00C777A6">
          <w:pPr>
            <w:pStyle w:val="TOC2"/>
            <w:tabs>
              <w:tab w:val="right" w:leader="dot" w:pos="9016"/>
            </w:tabs>
            <w:rPr>
              <w:rFonts w:asciiTheme="minorHAnsi" w:eastAsiaTheme="minorEastAsia" w:hAnsiTheme="minorHAnsi" w:cstheme="minorBidi"/>
              <w:noProof/>
              <w:sz w:val="22"/>
              <w:szCs w:val="22"/>
            </w:rPr>
          </w:pPr>
          <w:hyperlink w:anchor="_Toc17796059" w:history="1">
            <w:r w:rsidR="006353E8" w:rsidRPr="002E08B2">
              <w:rPr>
                <w:rStyle w:val="Hyperlink"/>
                <w:noProof/>
              </w:rPr>
              <w:t>Chair and vice chair reimbursement and remuneration</w:t>
            </w:r>
            <w:r w:rsidR="006353E8">
              <w:rPr>
                <w:noProof/>
                <w:webHidden/>
              </w:rPr>
              <w:tab/>
            </w:r>
            <w:r w:rsidR="006353E8">
              <w:rPr>
                <w:noProof/>
                <w:webHidden/>
              </w:rPr>
              <w:fldChar w:fldCharType="begin"/>
            </w:r>
            <w:r w:rsidR="006353E8">
              <w:rPr>
                <w:noProof/>
                <w:webHidden/>
              </w:rPr>
              <w:instrText xml:space="preserve"> PAGEREF _Toc17796059 \h </w:instrText>
            </w:r>
            <w:r w:rsidR="006353E8">
              <w:rPr>
                <w:noProof/>
                <w:webHidden/>
              </w:rPr>
            </w:r>
            <w:r w:rsidR="006353E8">
              <w:rPr>
                <w:noProof/>
                <w:webHidden/>
              </w:rPr>
              <w:fldChar w:fldCharType="separate"/>
            </w:r>
            <w:r w:rsidR="00AB1326">
              <w:rPr>
                <w:noProof/>
                <w:webHidden/>
              </w:rPr>
              <w:t>13</w:t>
            </w:r>
            <w:r w:rsidR="006353E8">
              <w:rPr>
                <w:noProof/>
                <w:webHidden/>
              </w:rPr>
              <w:fldChar w:fldCharType="end"/>
            </w:r>
          </w:hyperlink>
        </w:p>
        <w:p w14:paraId="6B1DEAE4" w14:textId="2F7D836C" w:rsidR="006353E8" w:rsidRDefault="00C777A6">
          <w:pPr>
            <w:pStyle w:val="TOC1"/>
            <w:rPr>
              <w:rFonts w:asciiTheme="minorHAnsi" w:eastAsiaTheme="minorEastAsia" w:hAnsiTheme="minorHAnsi" w:cstheme="minorBidi"/>
              <w:noProof/>
              <w:sz w:val="22"/>
              <w:szCs w:val="22"/>
            </w:rPr>
          </w:pPr>
          <w:hyperlink w:anchor="_Toc17796060" w:history="1">
            <w:r w:rsidR="006353E8" w:rsidRPr="002E08B2">
              <w:rPr>
                <w:rStyle w:val="Hyperlink"/>
                <w:i/>
                <w:noProof/>
              </w:rPr>
              <w:t>Section 4 - Using the expenses system</w:t>
            </w:r>
            <w:r w:rsidR="006353E8">
              <w:rPr>
                <w:noProof/>
                <w:webHidden/>
              </w:rPr>
              <w:tab/>
            </w:r>
            <w:r w:rsidR="006353E8">
              <w:rPr>
                <w:noProof/>
                <w:webHidden/>
              </w:rPr>
              <w:fldChar w:fldCharType="begin"/>
            </w:r>
            <w:r w:rsidR="006353E8">
              <w:rPr>
                <w:noProof/>
                <w:webHidden/>
              </w:rPr>
              <w:instrText xml:space="preserve"> PAGEREF _Toc17796060 \h </w:instrText>
            </w:r>
            <w:r w:rsidR="006353E8">
              <w:rPr>
                <w:noProof/>
                <w:webHidden/>
              </w:rPr>
            </w:r>
            <w:r w:rsidR="006353E8">
              <w:rPr>
                <w:noProof/>
                <w:webHidden/>
              </w:rPr>
              <w:fldChar w:fldCharType="separate"/>
            </w:r>
            <w:r w:rsidR="00AB1326">
              <w:rPr>
                <w:noProof/>
                <w:webHidden/>
              </w:rPr>
              <w:t>14</w:t>
            </w:r>
            <w:r w:rsidR="006353E8">
              <w:rPr>
                <w:noProof/>
                <w:webHidden/>
              </w:rPr>
              <w:fldChar w:fldCharType="end"/>
            </w:r>
          </w:hyperlink>
        </w:p>
        <w:p w14:paraId="75C9155A" w14:textId="74BEC45D" w:rsidR="006353E8" w:rsidRDefault="00C777A6">
          <w:pPr>
            <w:pStyle w:val="TOC1"/>
            <w:rPr>
              <w:rFonts w:asciiTheme="minorHAnsi" w:eastAsiaTheme="minorEastAsia" w:hAnsiTheme="minorHAnsi" w:cstheme="minorBidi"/>
              <w:noProof/>
              <w:sz w:val="22"/>
              <w:szCs w:val="22"/>
            </w:rPr>
          </w:pPr>
          <w:hyperlink w:anchor="_Toc17796061" w:history="1">
            <w:r w:rsidR="006353E8" w:rsidRPr="002E08B2">
              <w:rPr>
                <w:rStyle w:val="Hyperlink"/>
                <w:noProof/>
              </w:rPr>
              <w:t>Appendix 1 – Subsistence allowances</w:t>
            </w:r>
            <w:r w:rsidR="006353E8">
              <w:rPr>
                <w:noProof/>
                <w:webHidden/>
              </w:rPr>
              <w:tab/>
            </w:r>
            <w:r w:rsidR="006353E8">
              <w:rPr>
                <w:noProof/>
                <w:webHidden/>
              </w:rPr>
              <w:fldChar w:fldCharType="begin"/>
            </w:r>
            <w:r w:rsidR="006353E8">
              <w:rPr>
                <w:noProof/>
                <w:webHidden/>
              </w:rPr>
              <w:instrText xml:space="preserve"> PAGEREF _Toc17796061 \h </w:instrText>
            </w:r>
            <w:r w:rsidR="006353E8">
              <w:rPr>
                <w:noProof/>
                <w:webHidden/>
              </w:rPr>
            </w:r>
            <w:r w:rsidR="006353E8">
              <w:rPr>
                <w:noProof/>
                <w:webHidden/>
              </w:rPr>
              <w:fldChar w:fldCharType="separate"/>
            </w:r>
            <w:r w:rsidR="00AB1326">
              <w:rPr>
                <w:noProof/>
                <w:webHidden/>
              </w:rPr>
              <w:t>16</w:t>
            </w:r>
            <w:r w:rsidR="006353E8">
              <w:rPr>
                <w:noProof/>
                <w:webHidden/>
              </w:rPr>
              <w:fldChar w:fldCharType="end"/>
            </w:r>
          </w:hyperlink>
        </w:p>
        <w:p w14:paraId="3E450685" w14:textId="2EFFFD86" w:rsidR="006353E8" w:rsidRDefault="00C777A6">
          <w:pPr>
            <w:pStyle w:val="TOC1"/>
            <w:rPr>
              <w:rFonts w:asciiTheme="minorHAnsi" w:eastAsiaTheme="minorEastAsia" w:hAnsiTheme="minorHAnsi" w:cstheme="minorBidi"/>
              <w:noProof/>
              <w:sz w:val="22"/>
              <w:szCs w:val="22"/>
            </w:rPr>
          </w:pPr>
          <w:hyperlink w:anchor="_Toc17796062" w:history="1">
            <w:r w:rsidR="006353E8" w:rsidRPr="002E08B2">
              <w:rPr>
                <w:rStyle w:val="Hyperlink"/>
                <w:noProof/>
              </w:rPr>
              <w:t>Appendix 2 – Mileage rates</w:t>
            </w:r>
            <w:r w:rsidR="006353E8">
              <w:rPr>
                <w:noProof/>
                <w:webHidden/>
              </w:rPr>
              <w:tab/>
            </w:r>
            <w:r w:rsidR="006353E8">
              <w:rPr>
                <w:noProof/>
                <w:webHidden/>
              </w:rPr>
              <w:fldChar w:fldCharType="begin"/>
            </w:r>
            <w:r w:rsidR="006353E8">
              <w:rPr>
                <w:noProof/>
                <w:webHidden/>
              </w:rPr>
              <w:instrText xml:space="preserve"> PAGEREF _Toc17796062 \h </w:instrText>
            </w:r>
            <w:r w:rsidR="006353E8">
              <w:rPr>
                <w:noProof/>
                <w:webHidden/>
              </w:rPr>
            </w:r>
            <w:r w:rsidR="006353E8">
              <w:rPr>
                <w:noProof/>
                <w:webHidden/>
              </w:rPr>
              <w:fldChar w:fldCharType="separate"/>
            </w:r>
            <w:r w:rsidR="00AB1326">
              <w:rPr>
                <w:noProof/>
                <w:webHidden/>
              </w:rPr>
              <w:t>17</w:t>
            </w:r>
            <w:r w:rsidR="006353E8">
              <w:rPr>
                <w:noProof/>
                <w:webHidden/>
              </w:rPr>
              <w:fldChar w:fldCharType="end"/>
            </w:r>
          </w:hyperlink>
        </w:p>
        <w:p w14:paraId="3F385C2C" w14:textId="30C5D06C" w:rsidR="008A73FE" w:rsidRDefault="008A73FE">
          <w:r w:rsidRPr="008A73FE">
            <w:rPr>
              <w:b/>
              <w:bCs/>
              <w:noProof/>
              <w:sz w:val="28"/>
            </w:rPr>
            <w:fldChar w:fldCharType="end"/>
          </w:r>
        </w:p>
      </w:sdtContent>
    </w:sdt>
    <w:p w14:paraId="7034D0A2" w14:textId="77777777" w:rsidR="00907F7F" w:rsidRDefault="00907F7F">
      <w:pPr>
        <w:rPr>
          <w:rFonts w:ascii="Arial" w:hAnsi="Arial"/>
          <w:b/>
          <w:sz w:val="32"/>
          <w:szCs w:val="32"/>
          <w:highlight w:val="yellow"/>
        </w:rPr>
      </w:pPr>
      <w:r>
        <w:rPr>
          <w:b/>
          <w:sz w:val="32"/>
          <w:szCs w:val="32"/>
          <w:highlight w:val="yellow"/>
        </w:rPr>
        <w:br w:type="page"/>
      </w:r>
    </w:p>
    <w:p w14:paraId="3534D016" w14:textId="77777777" w:rsidR="00907F7F" w:rsidRPr="005E28CE" w:rsidRDefault="00907F7F" w:rsidP="005E28CE">
      <w:pPr>
        <w:pStyle w:val="Heading1"/>
        <w:rPr>
          <w:color w:val="31849B" w:themeColor="accent5" w:themeShade="BF"/>
          <w:sz w:val="40"/>
          <w:szCs w:val="40"/>
        </w:rPr>
      </w:pPr>
      <w:bookmarkStart w:id="1" w:name="_Toc17796039"/>
      <w:r w:rsidRPr="005E28CE">
        <w:rPr>
          <w:color w:val="31849B" w:themeColor="accent5" w:themeShade="BF"/>
          <w:sz w:val="40"/>
          <w:szCs w:val="40"/>
        </w:rPr>
        <w:lastRenderedPageBreak/>
        <w:t>Introduction</w:t>
      </w:r>
      <w:bookmarkEnd w:id="1"/>
    </w:p>
    <w:p w14:paraId="461FB1EF" w14:textId="77777777" w:rsidR="005E28CE" w:rsidRDefault="00D97FBD" w:rsidP="002B22DC">
      <w:pPr>
        <w:pStyle w:val="Paragraph"/>
      </w:pPr>
      <w:r w:rsidRPr="00ED3AFB">
        <w:t>It is NICE policy to ensure members of its advisory committees,</w:t>
      </w:r>
      <w:r>
        <w:t xml:space="preserve"> other ad hoc </w:t>
      </w:r>
      <w:r w:rsidRPr="00ED3AFB">
        <w:t>advisory groups, and its Fellows and Scholars are reimbursed promptly and appropriately for expenses incurred on NICE business.</w:t>
      </w:r>
    </w:p>
    <w:p w14:paraId="48FA04C7" w14:textId="77777777" w:rsidR="00517885" w:rsidRDefault="00062CFA" w:rsidP="00517885">
      <w:pPr>
        <w:pStyle w:val="Paragraph"/>
      </w:pPr>
      <w:r>
        <w:t>I</w:t>
      </w:r>
      <w:r w:rsidR="00517885" w:rsidRPr="00ED3AFB">
        <w:t xml:space="preserve">t </w:t>
      </w:r>
      <w:r w:rsidR="007A5EAC" w:rsidRPr="00ED3AFB">
        <w:t xml:space="preserve">is not NICE policy to </w:t>
      </w:r>
      <w:r w:rsidR="00517885">
        <w:t xml:space="preserve">personally </w:t>
      </w:r>
      <w:r w:rsidR="007A5EAC" w:rsidRPr="00ED3AFB">
        <w:t>remunerate individuals</w:t>
      </w:r>
      <w:r w:rsidR="00517885">
        <w:t xml:space="preserve"> </w:t>
      </w:r>
      <w:r w:rsidR="007A5EAC" w:rsidRPr="00ED3AFB">
        <w:t>for time spent on NICE business</w:t>
      </w:r>
      <w:r>
        <w:t xml:space="preserve"> except for </w:t>
      </w:r>
      <w:r w:rsidR="000E2B62">
        <w:t xml:space="preserve">honorariums paid to </w:t>
      </w:r>
      <w:r>
        <w:t>lay members</w:t>
      </w:r>
      <w:r w:rsidR="000E2B62">
        <w:t>,</w:t>
      </w:r>
      <w:r>
        <w:t xml:space="preserve"> </w:t>
      </w:r>
      <w:r w:rsidR="004F1E74">
        <w:t>c</w:t>
      </w:r>
      <w:r w:rsidR="00BB06B6" w:rsidRPr="00ED3AFB">
        <w:t xml:space="preserve">ommittee </w:t>
      </w:r>
      <w:r>
        <w:t>chairs and vice chairs</w:t>
      </w:r>
      <w:r w:rsidR="000E2B62">
        <w:t>.</w:t>
      </w:r>
      <w:r w:rsidR="00516164">
        <w:t xml:space="preserve"> </w:t>
      </w:r>
      <w:r w:rsidR="00517885">
        <w:t>NICE will however reimburse travel and subsistence costs which allow individuals to attend meetings comfortably and conveniently. When making b</w:t>
      </w:r>
      <w:r w:rsidR="003F4B7D">
        <w:t>ookings NICE expects best value</w:t>
      </w:r>
      <w:r w:rsidR="00517885">
        <w:t xml:space="preserve"> to be obtained</w:t>
      </w:r>
      <w:r w:rsidR="00517885" w:rsidRPr="00ED3AFB">
        <w:t>.</w:t>
      </w:r>
    </w:p>
    <w:p w14:paraId="3A960FCC" w14:textId="77777777" w:rsidR="007A5EAC" w:rsidRDefault="00FA1AC4" w:rsidP="007A5EAC">
      <w:pPr>
        <w:pStyle w:val="Paragraph"/>
      </w:pPr>
      <w:r w:rsidRPr="00ED3AFB" w:rsidDel="00FA1AC4">
        <w:t xml:space="preserve"> </w:t>
      </w:r>
      <w:r w:rsidR="007A5EAC" w:rsidRPr="00ED3AFB">
        <w:t xml:space="preserve">NICE is committed to the </w:t>
      </w:r>
      <w:hyperlink r:id="rId9" w:history="1">
        <w:r w:rsidR="007A5EAC" w:rsidRPr="00ED3AFB">
          <w:rPr>
            <w:rStyle w:val="Hyperlink"/>
            <w:color w:val="auto"/>
            <w:u w:val="none"/>
          </w:rPr>
          <w:t xml:space="preserve">Greening Government </w:t>
        </w:r>
      </w:hyperlink>
      <w:r w:rsidR="007A5EAC" w:rsidRPr="00ED3AFB">
        <w:t xml:space="preserve">agenda for UK government departments and their agencies to reduce </w:t>
      </w:r>
      <w:r w:rsidR="000C5BF5">
        <w:t>their impact</w:t>
      </w:r>
      <w:r w:rsidR="007A5EAC" w:rsidRPr="00ED3AFB">
        <w:t xml:space="preserve"> on the environment. NICE recognises that any travel, other than cycling or walking, can have an impact on the environment. The procedures set out below attempt to minimise the environmental effects of any travel. </w:t>
      </w:r>
    </w:p>
    <w:p w14:paraId="29E8E638" w14:textId="77777777" w:rsidR="005E28CE" w:rsidRPr="00ED3AFB" w:rsidRDefault="005E28CE" w:rsidP="002B22DC">
      <w:pPr>
        <w:pStyle w:val="Paragraph"/>
      </w:pPr>
      <w:r w:rsidRPr="00ED3AFB">
        <w:t>Any deviations from the policy must be agreed in advance by the Director of Business Planning and Resources</w:t>
      </w:r>
      <w:r>
        <w:t xml:space="preserve"> or designated deputy</w:t>
      </w:r>
      <w:r w:rsidRPr="00ED3AFB">
        <w:t>.</w:t>
      </w:r>
      <w:r w:rsidRPr="00517885">
        <w:t xml:space="preserve"> </w:t>
      </w:r>
    </w:p>
    <w:p w14:paraId="66D4B567" w14:textId="77777777" w:rsidR="00907F7F" w:rsidRPr="005E28CE" w:rsidRDefault="00907F7F" w:rsidP="00ED3AFB">
      <w:pPr>
        <w:pStyle w:val="Heading1"/>
        <w:rPr>
          <w:color w:val="31849B" w:themeColor="accent5" w:themeShade="BF"/>
          <w:sz w:val="40"/>
          <w:szCs w:val="40"/>
        </w:rPr>
      </w:pPr>
      <w:bookmarkStart w:id="2" w:name="_Toc17796040"/>
      <w:r w:rsidRPr="005E28CE">
        <w:rPr>
          <w:color w:val="31849B" w:themeColor="accent5" w:themeShade="BF"/>
          <w:sz w:val="40"/>
          <w:szCs w:val="40"/>
        </w:rPr>
        <w:t>Scope</w:t>
      </w:r>
      <w:bookmarkEnd w:id="2"/>
    </w:p>
    <w:p w14:paraId="09402011" w14:textId="77777777" w:rsidR="00430AC4" w:rsidRPr="00ED3AFB" w:rsidRDefault="00EF72D0" w:rsidP="00ED3AFB">
      <w:pPr>
        <w:pStyle w:val="Paragraph"/>
      </w:pPr>
      <w:r w:rsidRPr="00ED3AFB">
        <w:t xml:space="preserve">This policy applies to people who are individual members of our advisory committees and other groups convened to help us with our work. It also covers people who attend committee meetings as experts. </w:t>
      </w:r>
      <w:r w:rsidR="00784189" w:rsidRPr="00ED3AFB">
        <w:t>Meeting organisers will be explicit about whether expenses are covered when inviting p</w:t>
      </w:r>
      <w:r w:rsidR="005F0ACB">
        <w:t>eople to take part in meetings.</w:t>
      </w:r>
      <w:r w:rsidR="00784189" w:rsidRPr="00ED3AFB">
        <w:t xml:space="preserve"> </w:t>
      </w:r>
      <w:r w:rsidR="00D80E81" w:rsidRPr="00ED3AFB">
        <w:t>They will be collectively termed ‘</w:t>
      </w:r>
      <w:proofErr w:type="gramStart"/>
      <w:r w:rsidR="00D80E81" w:rsidRPr="00ED3AFB">
        <w:t>individuals’</w:t>
      </w:r>
      <w:proofErr w:type="gramEnd"/>
      <w:r w:rsidR="00D80E81" w:rsidRPr="00ED3AFB">
        <w:t xml:space="preserve">. </w:t>
      </w:r>
    </w:p>
    <w:p w14:paraId="7C1AD203" w14:textId="77777777" w:rsidR="00521BC6" w:rsidRPr="00ED3AFB" w:rsidRDefault="00521BC6" w:rsidP="00ED3AFB">
      <w:pPr>
        <w:pStyle w:val="Paragraph"/>
      </w:pPr>
      <w:r w:rsidRPr="00ED3AFB">
        <w:t>People attending meetings as observers are not eligible to claim reimbursement of expenses.</w:t>
      </w:r>
    </w:p>
    <w:p w14:paraId="2BF7B2E1" w14:textId="77777777" w:rsidR="00430AC4" w:rsidRDefault="00521BC6" w:rsidP="00ED3AFB">
      <w:pPr>
        <w:pStyle w:val="Paragraph"/>
      </w:pPr>
      <w:r w:rsidRPr="00ED3AFB">
        <w:t>NICE staff and Non-Executive Director expenses are covered in a separate policy.</w:t>
      </w:r>
    </w:p>
    <w:p w14:paraId="589629E5" w14:textId="77777777" w:rsidR="0024588F" w:rsidRPr="00D97FBD" w:rsidRDefault="00A54CA0" w:rsidP="002B22DC">
      <w:pPr>
        <w:pStyle w:val="Paragraph"/>
      </w:pPr>
      <w:r>
        <w:t>Guideline committee members who are working with other bodies</w:t>
      </w:r>
      <w:r w:rsidR="000E2B62">
        <w:t xml:space="preserve"> that contract with NICE to produce our guidance, known as our collaborating </w:t>
      </w:r>
      <w:proofErr w:type="gramStart"/>
      <w:r w:rsidR="000E2B62">
        <w:t>centres</w:t>
      </w:r>
      <w:proofErr w:type="gramEnd"/>
      <w:r>
        <w:t xml:space="preserve"> </w:t>
      </w:r>
      <w:r w:rsidR="000E2B62">
        <w:t xml:space="preserve"> </w:t>
      </w:r>
      <w:r>
        <w:t xml:space="preserve"> should claim their expenses from the other body and not from NICE. Please note that other bodies </w:t>
      </w:r>
      <w:r w:rsidR="00486202">
        <w:t>may</w:t>
      </w:r>
      <w:r>
        <w:t xml:space="preserve"> operate different expenses policies to NICE.</w:t>
      </w:r>
    </w:p>
    <w:p w14:paraId="13D20CF6" w14:textId="77777777" w:rsidR="003E0A5B" w:rsidRPr="00D97FBD" w:rsidRDefault="0024588F" w:rsidP="00ED3AFB">
      <w:pPr>
        <w:pStyle w:val="Heading1"/>
        <w:rPr>
          <w:color w:val="31849B" w:themeColor="accent5" w:themeShade="BF"/>
          <w:sz w:val="40"/>
          <w:szCs w:val="40"/>
        </w:rPr>
      </w:pPr>
      <w:bookmarkStart w:id="3" w:name="_Toc17796041"/>
      <w:r w:rsidRPr="00D97FBD">
        <w:rPr>
          <w:color w:val="31849B" w:themeColor="accent5" w:themeShade="BF"/>
          <w:sz w:val="40"/>
          <w:szCs w:val="40"/>
        </w:rPr>
        <w:t xml:space="preserve">Section 1 - </w:t>
      </w:r>
      <w:r w:rsidR="00C34A69" w:rsidRPr="00D97FBD">
        <w:rPr>
          <w:color w:val="31849B" w:themeColor="accent5" w:themeShade="BF"/>
          <w:sz w:val="40"/>
          <w:szCs w:val="40"/>
        </w:rPr>
        <w:t>T</w:t>
      </w:r>
      <w:r w:rsidR="00FA6AAB" w:rsidRPr="00D97FBD">
        <w:rPr>
          <w:color w:val="31849B" w:themeColor="accent5" w:themeShade="BF"/>
          <w:sz w:val="40"/>
          <w:szCs w:val="40"/>
        </w:rPr>
        <w:t>ravel and accommodation</w:t>
      </w:r>
      <w:bookmarkEnd w:id="3"/>
      <w:r w:rsidR="00FA6AAB" w:rsidRPr="00D97FBD">
        <w:rPr>
          <w:color w:val="31849B" w:themeColor="accent5" w:themeShade="BF"/>
          <w:sz w:val="40"/>
          <w:szCs w:val="40"/>
        </w:rPr>
        <w:t xml:space="preserve"> </w:t>
      </w:r>
    </w:p>
    <w:p w14:paraId="7C47F9E1" w14:textId="77777777" w:rsidR="00D40505" w:rsidRDefault="00D40505" w:rsidP="00ED3AFB">
      <w:pPr>
        <w:pStyle w:val="Paragraph"/>
      </w:pPr>
      <w:r>
        <w:t xml:space="preserve">This section </w:t>
      </w:r>
      <w:r w:rsidRPr="00ED3AFB">
        <w:t>covers</w:t>
      </w:r>
      <w:r>
        <w:t xml:space="preserve"> the following</w:t>
      </w:r>
      <w:r w:rsidR="0024588F">
        <w:t>:</w:t>
      </w:r>
    </w:p>
    <w:p w14:paraId="704A15A3" w14:textId="77777777" w:rsidR="0024588F" w:rsidRDefault="0024588F" w:rsidP="005F0ACB">
      <w:pPr>
        <w:pStyle w:val="Bullets"/>
      </w:pPr>
      <w:r>
        <w:t>Rail travel</w:t>
      </w:r>
    </w:p>
    <w:p w14:paraId="652CF371" w14:textId="77777777" w:rsidR="0024588F" w:rsidRDefault="0024588F" w:rsidP="005F0ACB">
      <w:pPr>
        <w:pStyle w:val="Bullets"/>
      </w:pPr>
      <w:r>
        <w:t>Other public transport</w:t>
      </w:r>
    </w:p>
    <w:p w14:paraId="08841F2E" w14:textId="77777777" w:rsidR="0024588F" w:rsidRDefault="0024588F" w:rsidP="005F0ACB">
      <w:pPr>
        <w:pStyle w:val="Bullets"/>
      </w:pPr>
      <w:r>
        <w:lastRenderedPageBreak/>
        <w:t>Taxis</w:t>
      </w:r>
    </w:p>
    <w:p w14:paraId="4FACD51E" w14:textId="77777777" w:rsidR="0024588F" w:rsidRDefault="0024588F" w:rsidP="005F0ACB">
      <w:pPr>
        <w:pStyle w:val="Bullets"/>
      </w:pPr>
      <w:r>
        <w:t>Flights</w:t>
      </w:r>
    </w:p>
    <w:p w14:paraId="3478BC96" w14:textId="77777777" w:rsidR="0024588F" w:rsidRDefault="0024588F" w:rsidP="005F0ACB">
      <w:pPr>
        <w:pStyle w:val="Bullets"/>
      </w:pPr>
      <w:r>
        <w:t>Car use</w:t>
      </w:r>
    </w:p>
    <w:p w14:paraId="16E7946C" w14:textId="77777777" w:rsidR="0024588F" w:rsidRDefault="0024588F" w:rsidP="005F0ACB">
      <w:pPr>
        <w:pStyle w:val="Bullets"/>
      </w:pPr>
      <w:r>
        <w:t>Bicycle use</w:t>
      </w:r>
    </w:p>
    <w:p w14:paraId="4D35A31D" w14:textId="77777777" w:rsidR="0024588F" w:rsidRDefault="0024588F" w:rsidP="005F0ACB">
      <w:pPr>
        <w:pStyle w:val="Bullets"/>
      </w:pPr>
      <w:r>
        <w:t>Accommodation</w:t>
      </w:r>
    </w:p>
    <w:p w14:paraId="1DBF6C00" w14:textId="77777777" w:rsidR="00C8336E" w:rsidRDefault="00C8336E" w:rsidP="005F0ACB">
      <w:pPr>
        <w:pStyle w:val="Bullets"/>
      </w:pPr>
      <w:r>
        <w:t>Rechargeable activity</w:t>
      </w:r>
    </w:p>
    <w:p w14:paraId="539EF505" w14:textId="77777777" w:rsidR="0024588F" w:rsidRDefault="0024588F" w:rsidP="005F0ACB">
      <w:pPr>
        <w:pStyle w:val="Paragraph"/>
        <w:numPr>
          <w:ilvl w:val="0"/>
          <w:numId w:val="0"/>
        </w:numPr>
        <w:spacing w:after="0" w:line="240" w:lineRule="auto"/>
        <w:ind w:left="1434"/>
      </w:pPr>
    </w:p>
    <w:p w14:paraId="142AA36D" w14:textId="77777777" w:rsidR="005E28CE" w:rsidRDefault="003E0A5B" w:rsidP="00D97FBD">
      <w:pPr>
        <w:pStyle w:val="Paragraph"/>
      </w:pPr>
      <w:r>
        <w:t>NICE has a central booking facility for train</w:t>
      </w:r>
      <w:r w:rsidR="006766FE">
        <w:t>,</w:t>
      </w:r>
      <w:r w:rsidR="00CF608A">
        <w:t xml:space="preserve"> air</w:t>
      </w:r>
      <w:r>
        <w:t xml:space="preserve"> travel and accommodation. We aim to reduce the burden of costs for individuals and will aim to book (and pay for) all train</w:t>
      </w:r>
      <w:r w:rsidR="006766FE">
        <w:t>,</w:t>
      </w:r>
      <w:r w:rsidR="00CF608A">
        <w:t xml:space="preserve"> air</w:t>
      </w:r>
      <w:r>
        <w:t xml:space="preserve"> travel and accommodation where applicable in advance. </w:t>
      </w:r>
      <w:r w:rsidR="00C34A69">
        <w:t>Wherever possible individuals are encouraged to use public transport, cycle or walk in preference to using cars</w:t>
      </w:r>
      <w:r w:rsidR="00CF608A">
        <w:t xml:space="preserve"> or flying</w:t>
      </w:r>
      <w:r w:rsidR="00C34A69">
        <w:t>, on grounds of reducing cost, improving health and minimising the impact of the journey on the environment.</w:t>
      </w:r>
    </w:p>
    <w:p w14:paraId="42CC4192" w14:textId="77777777" w:rsidR="003E0A5B" w:rsidRDefault="003E0A5B" w:rsidP="00856017">
      <w:pPr>
        <w:pStyle w:val="Paragraph"/>
      </w:pPr>
      <w:r>
        <w:t xml:space="preserve">Journeys between home and NICE </w:t>
      </w:r>
      <w:r w:rsidR="00CF608A">
        <w:t>business locations</w:t>
      </w:r>
      <w:r>
        <w:t xml:space="preserve"> will be booked by the </w:t>
      </w:r>
      <w:r w:rsidR="006574C2">
        <w:t>team organising the meetings</w:t>
      </w:r>
      <w:r>
        <w:t xml:space="preserve">. Please contact </w:t>
      </w:r>
      <w:r w:rsidR="00D80E81">
        <w:t>the relevant</w:t>
      </w:r>
      <w:r>
        <w:t xml:space="preserve"> NICE team to request travel booking and explore accommodation requirements.</w:t>
      </w:r>
    </w:p>
    <w:p w14:paraId="30FC67FD" w14:textId="2F5C9428" w:rsidR="00CF608A" w:rsidRDefault="003E62E1" w:rsidP="00CF608A">
      <w:pPr>
        <w:pStyle w:val="Paragraph"/>
      </w:pPr>
      <w:r>
        <w:t>NICE will usually book and purchase rail</w:t>
      </w:r>
      <w:r w:rsidR="006766FE">
        <w:t>,</w:t>
      </w:r>
      <w:r w:rsidR="005A0B7E">
        <w:t xml:space="preserve"> air</w:t>
      </w:r>
      <w:r>
        <w:t xml:space="preserve"> travel and hotels on behalf of individuals, we recognise that on some occasions this will not be possible. </w:t>
      </w:r>
      <w:r w:rsidR="003E0A5B">
        <w:t>When</w:t>
      </w:r>
      <w:r w:rsidR="0022495B">
        <w:t>,</w:t>
      </w:r>
      <w:r w:rsidR="003E0A5B">
        <w:t xml:space="preserve"> by exception</w:t>
      </w:r>
      <w:r w:rsidR="0022495B">
        <w:t>,</w:t>
      </w:r>
      <w:r w:rsidR="003E0A5B">
        <w:t xml:space="preserve"> </w:t>
      </w:r>
      <w:r w:rsidR="00430AC4">
        <w:t xml:space="preserve">rail </w:t>
      </w:r>
      <w:r w:rsidR="003E0A5B">
        <w:t xml:space="preserve">travel and accommodation is booked and purchased </w:t>
      </w:r>
      <w:r w:rsidR="001826BC">
        <w:t xml:space="preserve">by the individual </w:t>
      </w:r>
      <w:r w:rsidR="003E0A5B">
        <w:t>the limits within this policy apply</w:t>
      </w:r>
      <w:r w:rsidR="0022495B">
        <w:t>.  In such circumstances</w:t>
      </w:r>
      <w:r w:rsidR="003E0A5B">
        <w:t xml:space="preserve"> NICE will reimburse the cost of return travel between the individual</w:t>
      </w:r>
      <w:r w:rsidR="001826BC">
        <w:t>’</w:t>
      </w:r>
      <w:r w:rsidR="003E0A5B">
        <w:t>s home, office base or workplace</w:t>
      </w:r>
      <w:r w:rsidR="0022495B">
        <w:t>,</w:t>
      </w:r>
      <w:r w:rsidR="003E0A5B">
        <w:t xml:space="preserve"> and the NICE business location.</w:t>
      </w:r>
      <w:r>
        <w:t xml:space="preserve"> </w:t>
      </w:r>
      <w:r w:rsidR="00C34A69">
        <w:t>R</w:t>
      </w:r>
      <w:r>
        <w:t>eceipts wi</w:t>
      </w:r>
      <w:r w:rsidR="0022495B">
        <w:t>ll</w:t>
      </w:r>
      <w:r>
        <w:t xml:space="preserve"> be required when a claim is made for reimbursement.</w:t>
      </w:r>
      <w:r w:rsidR="00430AC4">
        <w:t xml:space="preserve"> </w:t>
      </w:r>
      <w:r>
        <w:t>Where appropriate</w:t>
      </w:r>
      <w:r w:rsidR="0022495B">
        <w:t>,</w:t>
      </w:r>
      <w:r>
        <w:t xml:space="preserve"> and by pre</w:t>
      </w:r>
      <w:r w:rsidR="0022495B">
        <w:t>-</w:t>
      </w:r>
      <w:r>
        <w:t>agreement</w:t>
      </w:r>
      <w:r w:rsidR="0022495B">
        <w:t>,</w:t>
      </w:r>
      <w:r>
        <w:t xml:space="preserve"> NICE will reimburse other travel expenses incurred by those engaged on NICE business for example </w:t>
      </w:r>
      <w:r w:rsidR="007A5EAC">
        <w:t>mileage</w:t>
      </w:r>
      <w:r>
        <w:t>, parking, taxis and flights.</w:t>
      </w:r>
    </w:p>
    <w:p w14:paraId="5E2E289B" w14:textId="77777777" w:rsidR="00BC1320" w:rsidRPr="00D97FBD" w:rsidRDefault="00D80E81" w:rsidP="005F0ACB">
      <w:pPr>
        <w:pStyle w:val="Heading2"/>
        <w:rPr>
          <w:color w:val="31849B" w:themeColor="accent5" w:themeShade="BF"/>
          <w:sz w:val="36"/>
          <w:szCs w:val="36"/>
        </w:rPr>
      </w:pPr>
      <w:bookmarkStart w:id="4" w:name="_Toc17796042"/>
      <w:r w:rsidRPr="00D97FBD">
        <w:rPr>
          <w:color w:val="31849B" w:themeColor="accent5" w:themeShade="BF"/>
          <w:sz w:val="36"/>
          <w:szCs w:val="36"/>
        </w:rPr>
        <w:t>Rail travel</w:t>
      </w:r>
      <w:bookmarkEnd w:id="4"/>
    </w:p>
    <w:p w14:paraId="2BD89807" w14:textId="41304F57" w:rsidR="007A5EAC" w:rsidRDefault="007A5EAC" w:rsidP="004E2276">
      <w:pPr>
        <w:pStyle w:val="Paragraph"/>
      </w:pPr>
      <w:r>
        <w:t>Tickets should always be purchased as economically as possible taking advantage of cheaper fares where available through advance booking</w:t>
      </w:r>
      <w:r w:rsidR="00B206AF">
        <w:t xml:space="preserve">. </w:t>
      </w:r>
      <w:r>
        <w:t xml:space="preserve">Booking arrangements should be made with enough time for postage or collection. </w:t>
      </w:r>
      <w:r w:rsidR="004E2276">
        <w:t>Alternatively</w:t>
      </w:r>
      <w:r w:rsidR="006353E8">
        <w:t>,</w:t>
      </w:r>
      <w:r w:rsidR="004E2276">
        <w:t xml:space="preserve"> tickets can be collected from the train station, using the ticket on departure f</w:t>
      </w:r>
      <w:r w:rsidR="000E2B62">
        <w:t>acility</w:t>
      </w:r>
      <w:r w:rsidR="004E2276">
        <w:t xml:space="preserve">. When arranging ticket on departure teams must forward budget holder authorisation to </w:t>
      </w:r>
      <w:r w:rsidR="004E2276" w:rsidRPr="004E2276">
        <w:t>TODauthorisation@nice.org.uk</w:t>
      </w:r>
      <w:r w:rsidR="004E2276">
        <w:t>.</w:t>
      </w:r>
    </w:p>
    <w:p w14:paraId="2F4D1697" w14:textId="1444D2ED" w:rsidR="0053626D" w:rsidRDefault="00407783" w:rsidP="00856017">
      <w:pPr>
        <w:pStyle w:val="Paragraph"/>
      </w:pPr>
      <w:r>
        <w:t>Rail travel will be standard class</w:t>
      </w:r>
      <w:r w:rsidR="008D7E5C">
        <w:t xml:space="preserve">, unless first class travel can be obtained for </w:t>
      </w:r>
      <w:r w:rsidR="00483000">
        <w:t>a similar</w:t>
      </w:r>
      <w:r w:rsidR="00E26A6C">
        <w:t xml:space="preserve"> or</w:t>
      </w:r>
      <w:r w:rsidR="00483000">
        <w:t xml:space="preserve"> </w:t>
      </w:r>
      <w:r w:rsidR="00E26A6C">
        <w:t xml:space="preserve">lower </w:t>
      </w:r>
      <w:r w:rsidR="00483000">
        <w:t xml:space="preserve">price than </w:t>
      </w:r>
      <w:r w:rsidR="00E26A6C">
        <w:t xml:space="preserve">a </w:t>
      </w:r>
      <w:r w:rsidR="00483000">
        <w:t>standard class</w:t>
      </w:r>
      <w:r w:rsidR="00E26A6C">
        <w:t xml:space="preserve"> ticket</w:t>
      </w:r>
      <w:r w:rsidR="00483000">
        <w:t xml:space="preserve"> </w:t>
      </w:r>
      <w:r w:rsidR="00E26A6C">
        <w:t xml:space="preserve">with the same level of required flexibility on travel options. </w:t>
      </w:r>
      <w:proofErr w:type="gramStart"/>
      <w:r w:rsidR="00483000">
        <w:t>Otherwise</w:t>
      </w:r>
      <w:proofErr w:type="gramEnd"/>
      <w:r w:rsidR="00483000">
        <w:t xml:space="preserve"> f</w:t>
      </w:r>
      <w:r w:rsidR="002E6892">
        <w:t>irst</w:t>
      </w:r>
      <w:r w:rsidR="006353E8">
        <w:t>-</w:t>
      </w:r>
      <w:r w:rsidR="002E6892">
        <w:t xml:space="preserve">class travel is not permitted unless this is needed for reasons of disability or other medical / health / access need. </w:t>
      </w:r>
      <w:r>
        <w:t>These requirements must be discussed and agreed in advance</w:t>
      </w:r>
      <w:r w:rsidR="00837077">
        <w:t xml:space="preserve"> with the </w:t>
      </w:r>
      <w:r w:rsidR="00837077">
        <w:lastRenderedPageBreak/>
        <w:t>team supporting the meeting</w:t>
      </w:r>
      <w:r>
        <w:t xml:space="preserve">. Evidence (for example a medical note) may be required to support the request. All requests for first class travel </w:t>
      </w:r>
      <w:r w:rsidR="005A6CE7">
        <w:t>should</w:t>
      </w:r>
      <w:r>
        <w:t xml:space="preserve"> be</w:t>
      </w:r>
      <w:r w:rsidR="003E62E1">
        <w:t xml:space="preserve"> raised with</w:t>
      </w:r>
      <w:r w:rsidR="00EF4488">
        <w:t xml:space="preserve"> the </w:t>
      </w:r>
      <w:r w:rsidR="00837077">
        <w:t>team supporting the meeting</w:t>
      </w:r>
      <w:r>
        <w:t xml:space="preserve"> </w:t>
      </w:r>
      <w:r w:rsidR="005A6CE7">
        <w:t xml:space="preserve">who will seek </w:t>
      </w:r>
      <w:r w:rsidR="004646FF">
        <w:t xml:space="preserve">  </w:t>
      </w:r>
      <w:r w:rsidR="005A6CE7">
        <w:t>approval from</w:t>
      </w:r>
      <w:r>
        <w:t xml:space="preserve"> </w:t>
      </w:r>
      <w:r w:rsidR="009326BB">
        <w:t>Finance</w:t>
      </w:r>
      <w:r w:rsidR="004E2276">
        <w:t xml:space="preserve"> who will then inform </w:t>
      </w:r>
      <w:r w:rsidR="001F6F1F">
        <w:t>the F</w:t>
      </w:r>
      <w:r w:rsidR="004E2276">
        <w:t>acilities</w:t>
      </w:r>
      <w:r w:rsidR="001F6F1F">
        <w:t xml:space="preserve"> team who are responsible for printing and distributing tickets</w:t>
      </w:r>
      <w:r>
        <w:t xml:space="preserve">. </w:t>
      </w:r>
    </w:p>
    <w:p w14:paraId="3B6874B9" w14:textId="77777777" w:rsidR="00FB6986" w:rsidRDefault="00FB6986" w:rsidP="00856017">
      <w:pPr>
        <w:pStyle w:val="Paragraph"/>
      </w:pPr>
      <w:r>
        <w:t>Compensation relating to delayed trains, where travel has occurred may be retained by the individual in recognition of the impact of the delay. Where a journey is cancelled and a full refund offered, this should be returned to NICE and where appropriate a new booking will be made.</w:t>
      </w:r>
    </w:p>
    <w:p w14:paraId="3152BD31" w14:textId="77777777" w:rsidR="00F81042" w:rsidRPr="00D97FBD" w:rsidRDefault="00CF608A" w:rsidP="00ED3AFB">
      <w:pPr>
        <w:pStyle w:val="Heading2"/>
        <w:rPr>
          <w:color w:val="31849B" w:themeColor="accent5" w:themeShade="BF"/>
          <w:sz w:val="36"/>
          <w:szCs w:val="36"/>
        </w:rPr>
      </w:pPr>
      <w:bookmarkStart w:id="5" w:name="_Toc17796043"/>
      <w:r w:rsidRPr="00D97FBD">
        <w:rPr>
          <w:color w:val="31849B" w:themeColor="accent5" w:themeShade="BF"/>
          <w:sz w:val="36"/>
          <w:szCs w:val="36"/>
        </w:rPr>
        <w:t>Other p</w:t>
      </w:r>
      <w:r w:rsidR="003E62E1" w:rsidRPr="00D97FBD">
        <w:rPr>
          <w:color w:val="31849B" w:themeColor="accent5" w:themeShade="BF"/>
          <w:sz w:val="36"/>
          <w:szCs w:val="36"/>
        </w:rPr>
        <w:t xml:space="preserve">ublic </w:t>
      </w:r>
      <w:r w:rsidRPr="00D97FBD">
        <w:rPr>
          <w:color w:val="31849B" w:themeColor="accent5" w:themeShade="BF"/>
          <w:sz w:val="36"/>
          <w:szCs w:val="36"/>
        </w:rPr>
        <w:t>t</w:t>
      </w:r>
      <w:r w:rsidR="003E62E1" w:rsidRPr="00D97FBD">
        <w:rPr>
          <w:color w:val="31849B" w:themeColor="accent5" w:themeShade="BF"/>
          <w:sz w:val="36"/>
          <w:szCs w:val="36"/>
        </w:rPr>
        <w:t>ransport (</w:t>
      </w:r>
      <w:r w:rsidRPr="00D97FBD">
        <w:rPr>
          <w:color w:val="31849B" w:themeColor="accent5" w:themeShade="BF"/>
          <w:sz w:val="36"/>
          <w:szCs w:val="36"/>
        </w:rPr>
        <w:t>e.g. tube, tram or</w:t>
      </w:r>
      <w:r w:rsidR="003E62E1" w:rsidRPr="00D97FBD">
        <w:rPr>
          <w:color w:val="31849B" w:themeColor="accent5" w:themeShade="BF"/>
          <w:sz w:val="36"/>
          <w:szCs w:val="36"/>
        </w:rPr>
        <w:t xml:space="preserve"> bus)</w:t>
      </w:r>
      <w:bookmarkEnd w:id="5"/>
    </w:p>
    <w:p w14:paraId="4E30CE6D" w14:textId="77777777" w:rsidR="00F81042" w:rsidRDefault="00F81042" w:rsidP="00856017">
      <w:pPr>
        <w:pStyle w:val="Paragraph"/>
      </w:pPr>
      <w:r>
        <w:t>In London and Manchester where public transport services are comprehensively available individuals are encouraged to use these modes of transport.</w:t>
      </w:r>
    </w:p>
    <w:p w14:paraId="416C0C55" w14:textId="3103652D" w:rsidR="009326BB" w:rsidRDefault="00F81042" w:rsidP="003F4B7D">
      <w:pPr>
        <w:pStyle w:val="Paragraph"/>
      </w:pPr>
      <w:r>
        <w:t>Individuals are encouraged to use Oyster cards</w:t>
      </w:r>
      <w:r w:rsidR="00DA0FE2">
        <w:t xml:space="preserve">, </w:t>
      </w:r>
      <w:r w:rsidR="00B15846">
        <w:t>or equivalent</w:t>
      </w:r>
      <w:r w:rsidR="00DA0FE2">
        <w:t>,</w:t>
      </w:r>
      <w:r w:rsidR="009E1FE5">
        <w:t xml:space="preserve"> or contactless payment cards</w:t>
      </w:r>
      <w:r>
        <w:t xml:space="preserve"> </w:t>
      </w:r>
      <w:r w:rsidR="009E1FE5">
        <w:t>for travel on public transport. These paperless systems provide a cost</w:t>
      </w:r>
      <w:r w:rsidR="006353E8">
        <w:t>-</w:t>
      </w:r>
      <w:r w:rsidR="009E1FE5">
        <w:t>effective means of travel.</w:t>
      </w:r>
      <w:r w:rsidR="000E4E93">
        <w:t xml:space="preserve"> </w:t>
      </w:r>
      <w:r w:rsidR="009E1FE5">
        <w:t>Any bus, tram or tube passes that allow unlimited travel (such as a monthly season ticket) will not be reimbursed as no additional cost has been incurred.</w:t>
      </w:r>
    </w:p>
    <w:p w14:paraId="6921DF76" w14:textId="77777777" w:rsidR="009E1FE5" w:rsidRDefault="003F4B7D" w:rsidP="009326BB">
      <w:pPr>
        <w:pStyle w:val="Paragraph"/>
      </w:pPr>
      <w:r>
        <w:t>Tickets,</w:t>
      </w:r>
      <w:r w:rsidR="009326BB">
        <w:t xml:space="preserve"> receipts</w:t>
      </w:r>
      <w:r>
        <w:t xml:space="preserve"> or statement extracts</w:t>
      </w:r>
      <w:r w:rsidR="009326BB">
        <w:t xml:space="preserve"> should be </w:t>
      </w:r>
      <w:r>
        <w:t>attached to the claim</w:t>
      </w:r>
      <w:r w:rsidR="009326BB">
        <w:t xml:space="preserve"> as proof of expense.</w:t>
      </w:r>
    </w:p>
    <w:p w14:paraId="53868FC0" w14:textId="77777777" w:rsidR="00A16ED6" w:rsidRPr="00D97FBD" w:rsidRDefault="00CF608A" w:rsidP="00ED3AFB">
      <w:pPr>
        <w:pStyle w:val="Heading2"/>
        <w:rPr>
          <w:color w:val="31849B" w:themeColor="accent5" w:themeShade="BF"/>
          <w:sz w:val="36"/>
          <w:szCs w:val="36"/>
        </w:rPr>
      </w:pPr>
      <w:bookmarkStart w:id="6" w:name="_Toc17796044"/>
      <w:r w:rsidRPr="00D97FBD">
        <w:rPr>
          <w:color w:val="31849B" w:themeColor="accent5" w:themeShade="BF"/>
          <w:sz w:val="36"/>
          <w:szCs w:val="36"/>
        </w:rPr>
        <w:t>T</w:t>
      </w:r>
      <w:r w:rsidR="00A16ED6" w:rsidRPr="00D97FBD">
        <w:rPr>
          <w:color w:val="31849B" w:themeColor="accent5" w:themeShade="BF"/>
          <w:sz w:val="36"/>
          <w:szCs w:val="36"/>
        </w:rPr>
        <w:t>axi</w:t>
      </w:r>
      <w:r w:rsidRPr="00D97FBD">
        <w:rPr>
          <w:color w:val="31849B" w:themeColor="accent5" w:themeShade="BF"/>
          <w:sz w:val="36"/>
          <w:szCs w:val="36"/>
        </w:rPr>
        <w:t>s</w:t>
      </w:r>
      <w:bookmarkEnd w:id="6"/>
    </w:p>
    <w:p w14:paraId="6C45A971" w14:textId="77777777" w:rsidR="00A16ED6" w:rsidRDefault="00A16ED6" w:rsidP="009326BB">
      <w:pPr>
        <w:pStyle w:val="Paragraph"/>
      </w:pPr>
      <w:r>
        <w:t>Taxis may be used where there is a justification on the grounds of:</w:t>
      </w:r>
    </w:p>
    <w:p w14:paraId="47823515" w14:textId="77777777" w:rsidR="00A16ED6" w:rsidRPr="0053421C" w:rsidRDefault="00CF608A" w:rsidP="0053421C">
      <w:pPr>
        <w:pStyle w:val="Bullets"/>
      </w:pPr>
      <w:r w:rsidRPr="0053421C">
        <w:t>C</w:t>
      </w:r>
      <w:r w:rsidR="00A16ED6" w:rsidRPr="0053421C">
        <w:t>ost</w:t>
      </w:r>
      <w:r w:rsidR="0053421C">
        <w:t>-</w:t>
      </w:r>
      <w:r w:rsidR="00A16ED6" w:rsidRPr="0053421C">
        <w:t>effectiveness due to multiple people travelling to the same p</w:t>
      </w:r>
      <w:r w:rsidR="00BD5F70" w:rsidRPr="0053421C">
        <w:t>l</w:t>
      </w:r>
      <w:r w:rsidR="00A16ED6" w:rsidRPr="0053421C">
        <w:t>ace together</w:t>
      </w:r>
      <w:r w:rsidRPr="0053421C">
        <w:t>.</w:t>
      </w:r>
    </w:p>
    <w:p w14:paraId="693B4928" w14:textId="77777777" w:rsidR="00A16ED6" w:rsidRPr="0053421C" w:rsidRDefault="00CF608A" w:rsidP="0053421C">
      <w:pPr>
        <w:pStyle w:val="Bullets"/>
      </w:pPr>
      <w:r w:rsidRPr="0053421C">
        <w:t>P</w:t>
      </w:r>
      <w:r w:rsidR="00A16ED6" w:rsidRPr="0053421C">
        <w:t>ersonal safety, for example travelling at night</w:t>
      </w:r>
      <w:r w:rsidRPr="0053421C">
        <w:t>.</w:t>
      </w:r>
    </w:p>
    <w:p w14:paraId="22727E44" w14:textId="77777777" w:rsidR="00A16ED6" w:rsidRPr="0053421C" w:rsidRDefault="00CF608A" w:rsidP="0053421C">
      <w:pPr>
        <w:pStyle w:val="Bullets"/>
      </w:pPr>
      <w:r w:rsidRPr="0053421C">
        <w:t>D</w:t>
      </w:r>
      <w:r w:rsidR="00A16ED6" w:rsidRPr="0053421C">
        <w:t>isability, impairment or a long</w:t>
      </w:r>
      <w:r w:rsidR="0053421C">
        <w:t>-</w:t>
      </w:r>
      <w:r w:rsidR="00A16ED6" w:rsidRPr="0053421C">
        <w:t>term condition</w:t>
      </w:r>
      <w:r w:rsidRPr="0053421C">
        <w:t>.</w:t>
      </w:r>
    </w:p>
    <w:p w14:paraId="1D62BE69" w14:textId="77777777" w:rsidR="00BD5F70" w:rsidRPr="0053421C" w:rsidRDefault="00CF608A" w:rsidP="0053421C">
      <w:pPr>
        <w:pStyle w:val="Bullets"/>
      </w:pPr>
      <w:r w:rsidRPr="0053421C">
        <w:t>T</w:t>
      </w:r>
      <w:r w:rsidR="00B44CC1" w:rsidRPr="0053421C">
        <w:t>ravelling with heavy or bulky items of equipment of luggage</w:t>
      </w:r>
      <w:r w:rsidRPr="0053421C">
        <w:t>.</w:t>
      </w:r>
    </w:p>
    <w:p w14:paraId="702F9576" w14:textId="77777777" w:rsidR="00A16ED6" w:rsidRPr="0053421C" w:rsidRDefault="00CF608A" w:rsidP="0053421C">
      <w:pPr>
        <w:pStyle w:val="Bullets"/>
      </w:pPr>
      <w:r w:rsidRPr="0053421C">
        <w:t>T</w:t>
      </w:r>
      <w:r w:rsidR="00BD5F70" w:rsidRPr="0053421C">
        <w:t>ravelling in an area with limited public transport</w:t>
      </w:r>
      <w:r w:rsidR="003F4B7D">
        <w:t>.</w:t>
      </w:r>
      <w:r w:rsidR="00BD5F70" w:rsidRPr="0053421C">
        <w:t xml:space="preserve"> </w:t>
      </w:r>
      <w:r w:rsidR="000E0394">
        <w:t xml:space="preserve"> </w:t>
      </w:r>
    </w:p>
    <w:p w14:paraId="6C85CF78" w14:textId="77777777" w:rsidR="00CF608A" w:rsidRDefault="00CF608A" w:rsidP="009A5250">
      <w:pPr>
        <w:pStyle w:val="Bullets"/>
        <w:numPr>
          <w:ilvl w:val="0"/>
          <w:numId w:val="0"/>
        </w:numPr>
        <w:spacing w:after="0" w:line="240" w:lineRule="auto"/>
        <w:ind w:left="1134"/>
      </w:pPr>
    </w:p>
    <w:p w14:paraId="64751552" w14:textId="77777777" w:rsidR="00856017" w:rsidRPr="00856017" w:rsidRDefault="00B44CC1" w:rsidP="00326114">
      <w:pPr>
        <w:pStyle w:val="Paragraph"/>
      </w:pPr>
      <w:r>
        <w:t xml:space="preserve">Individuals wishing to travel by taxi should discuss this in advance with the </w:t>
      </w:r>
      <w:r w:rsidR="009326BB">
        <w:t>relevant</w:t>
      </w:r>
      <w:r>
        <w:t xml:space="preserve"> </w:t>
      </w:r>
      <w:r w:rsidR="003225FB">
        <w:t xml:space="preserve">NICE </w:t>
      </w:r>
      <w:r>
        <w:t xml:space="preserve">team so </w:t>
      </w:r>
      <w:r w:rsidR="0053421C">
        <w:t xml:space="preserve">that </w:t>
      </w:r>
      <w:r>
        <w:t>budget holder approval can be obtained prior to travel</w:t>
      </w:r>
      <w:r w:rsidR="000E4E93">
        <w:t xml:space="preserve"> if the cost of the journey exceeds £15</w:t>
      </w:r>
      <w:r>
        <w:t>.</w:t>
      </w:r>
    </w:p>
    <w:p w14:paraId="7ABFC5D3" w14:textId="77777777" w:rsidR="00B44CC1" w:rsidRDefault="00B44CC1" w:rsidP="00326114">
      <w:pPr>
        <w:pStyle w:val="Paragraph"/>
      </w:pPr>
      <w:r>
        <w:t xml:space="preserve">Where an individual has paid for a taxi fare, a receipt must be </w:t>
      </w:r>
      <w:proofErr w:type="gramStart"/>
      <w:r>
        <w:t>obtained</w:t>
      </w:r>
      <w:proofErr w:type="gramEnd"/>
      <w:r>
        <w:t xml:space="preserve"> and a scanned copy attached to the claim.</w:t>
      </w:r>
    </w:p>
    <w:p w14:paraId="2A152418" w14:textId="77777777" w:rsidR="006524D5" w:rsidRPr="00D97FBD" w:rsidRDefault="006524D5" w:rsidP="00ED3AFB">
      <w:pPr>
        <w:pStyle w:val="Heading2"/>
        <w:rPr>
          <w:color w:val="31849B" w:themeColor="accent5" w:themeShade="BF"/>
          <w:sz w:val="36"/>
          <w:szCs w:val="36"/>
        </w:rPr>
      </w:pPr>
      <w:bookmarkStart w:id="7" w:name="_Toc17796045"/>
      <w:r w:rsidRPr="00D97FBD">
        <w:rPr>
          <w:color w:val="31849B" w:themeColor="accent5" w:themeShade="BF"/>
          <w:sz w:val="36"/>
          <w:szCs w:val="36"/>
        </w:rPr>
        <w:lastRenderedPageBreak/>
        <w:t>Air travel</w:t>
      </w:r>
      <w:bookmarkEnd w:id="7"/>
    </w:p>
    <w:p w14:paraId="08166AB0" w14:textId="77777777" w:rsidR="006524D5" w:rsidRDefault="006524D5" w:rsidP="00856017">
      <w:pPr>
        <w:pStyle w:val="Paragraph"/>
      </w:pPr>
      <w:r>
        <w:t xml:space="preserve">Air travel should be extremely </w:t>
      </w:r>
      <w:proofErr w:type="gramStart"/>
      <w:r>
        <w:t>rare</w:t>
      </w:r>
      <w:proofErr w:type="gramEnd"/>
      <w:r w:rsidR="00BD5F70">
        <w:t xml:space="preserve"> and consideration given to the environmental impact of flying as opposed to other means of transport as per NICE’s responsibilities around the sustainability agenda</w:t>
      </w:r>
      <w:r>
        <w:t>. However, there may be some instances where individuals may need to travel within the UK when travel by train may not be the most cost</w:t>
      </w:r>
      <w:r w:rsidR="0053421C">
        <w:t>-</w:t>
      </w:r>
      <w:r>
        <w:t>effective</w:t>
      </w:r>
      <w:r w:rsidR="00BD5F70">
        <w:t xml:space="preserve"> or viable</w:t>
      </w:r>
      <w:r>
        <w:t xml:space="preserve"> option, or outside the UK, to attend conferences and events in connection with </w:t>
      </w:r>
      <w:r w:rsidR="00156390">
        <w:t>NICE business</w:t>
      </w:r>
      <w:r>
        <w:t>.</w:t>
      </w:r>
    </w:p>
    <w:p w14:paraId="5F079DBB" w14:textId="77777777" w:rsidR="006524D5" w:rsidRDefault="006524D5" w:rsidP="00856017">
      <w:pPr>
        <w:pStyle w:val="Paragraph"/>
      </w:pPr>
      <w:r>
        <w:t xml:space="preserve">In such circumstances individual </w:t>
      </w:r>
      <w:r w:rsidR="0082186F">
        <w:t xml:space="preserve">NICE </w:t>
      </w:r>
      <w:r>
        <w:t xml:space="preserve">teams should book air travel through NICE’s internal booking systems. All bookings should be booked as far in advance as possible to ensure the purchase of the best value ticket available. </w:t>
      </w:r>
    </w:p>
    <w:p w14:paraId="423AE6D3" w14:textId="6B4AD3C4" w:rsidR="00957BD3" w:rsidRDefault="00483000" w:rsidP="00856017">
      <w:pPr>
        <w:pStyle w:val="Paragraph"/>
      </w:pPr>
      <w:r>
        <w:t xml:space="preserve">When travelling by air, NICE’s staff </w:t>
      </w:r>
      <w:r w:rsidR="00F56715">
        <w:t xml:space="preserve">travel </w:t>
      </w:r>
      <w:r>
        <w:t>policy applies and should be referred to.</w:t>
      </w:r>
    </w:p>
    <w:p w14:paraId="68B608F6" w14:textId="77777777" w:rsidR="002E6892" w:rsidRPr="00D97FBD" w:rsidRDefault="002E6892" w:rsidP="002E6892">
      <w:pPr>
        <w:pStyle w:val="Heading2"/>
        <w:rPr>
          <w:rFonts w:cs="Arial"/>
          <w:color w:val="31849B" w:themeColor="accent5" w:themeShade="BF"/>
          <w:sz w:val="36"/>
          <w:szCs w:val="36"/>
        </w:rPr>
      </w:pPr>
      <w:bookmarkStart w:id="8" w:name="_Toc17796046"/>
      <w:r w:rsidRPr="00D97FBD">
        <w:rPr>
          <w:rFonts w:cs="Arial"/>
          <w:color w:val="31849B" w:themeColor="accent5" w:themeShade="BF"/>
          <w:sz w:val="36"/>
          <w:szCs w:val="36"/>
        </w:rPr>
        <w:t>Car use</w:t>
      </w:r>
      <w:bookmarkEnd w:id="8"/>
    </w:p>
    <w:p w14:paraId="2A82BD2E" w14:textId="77777777" w:rsidR="00E01458" w:rsidRDefault="00E634AA" w:rsidP="00794571">
      <w:pPr>
        <w:pStyle w:val="Paragraph"/>
      </w:pPr>
      <w:r>
        <w:t>NICE</w:t>
      </w:r>
      <w:r w:rsidR="00D648D6">
        <w:t xml:space="preserve"> discourages travel by motor vehicles because of the environmental impact and the lack of opportunity for other activity when driving. As such</w:t>
      </w:r>
      <w:r w:rsidR="00681FA2">
        <w:t>,</w:t>
      </w:r>
      <w:r w:rsidR="00D648D6">
        <w:t xml:space="preserve"> travel by public transport would usually be expected unless there is a specific need</w:t>
      </w:r>
      <w:r w:rsidR="002E6892">
        <w:t xml:space="preserve"> for car use</w:t>
      </w:r>
      <w:r w:rsidR="00E96DD2">
        <w:t>, for example due to disability</w:t>
      </w:r>
      <w:r w:rsidR="002E6892">
        <w:t xml:space="preserve"> or lack of public transport options </w:t>
      </w:r>
      <w:r w:rsidR="00D648D6">
        <w:t>or travel to a p</w:t>
      </w:r>
      <w:r w:rsidR="002E6892">
        <w:t>ublic transport departure point</w:t>
      </w:r>
      <w:r w:rsidR="00D648D6">
        <w:t>.</w:t>
      </w:r>
    </w:p>
    <w:p w14:paraId="74A05231" w14:textId="0F38D0ED" w:rsidR="00D648D6" w:rsidRPr="00681FA2" w:rsidRDefault="00D648D6" w:rsidP="00794571">
      <w:pPr>
        <w:pStyle w:val="Paragraph"/>
      </w:pPr>
      <w:r>
        <w:t xml:space="preserve">Reimbursement of mileage expenses will be paid where travel by public transport was not available or not appropriate for the journey. Individuals who use their own vehicles in these circumstances will receive reimbursement at the prevailing </w:t>
      </w:r>
      <w:r w:rsidR="001572D0">
        <w:t>reserve (p</w:t>
      </w:r>
      <w:r>
        <w:t>u</w:t>
      </w:r>
      <w:r w:rsidR="001572D0">
        <w:t>blic t</w:t>
      </w:r>
      <w:r w:rsidRPr="00681FA2">
        <w:t>ransport</w:t>
      </w:r>
      <w:r w:rsidR="001572D0">
        <w:t>)</w:t>
      </w:r>
      <w:r w:rsidRPr="00681FA2">
        <w:t xml:space="preserve"> mileage rate, as set out in appendix 2.</w:t>
      </w:r>
    </w:p>
    <w:p w14:paraId="457E22C1" w14:textId="77777777" w:rsidR="00D648D6" w:rsidRPr="0081687E" w:rsidRDefault="00D648D6" w:rsidP="00794571">
      <w:pPr>
        <w:pStyle w:val="Paragraph"/>
      </w:pPr>
      <w:r w:rsidRPr="0081687E">
        <w:t xml:space="preserve">Reasonable receipted parking fees, congestion charges and tolls will be reimbursed. </w:t>
      </w:r>
      <w:r w:rsidR="00883722" w:rsidRPr="0081687E">
        <w:t xml:space="preserve">Individuals </w:t>
      </w:r>
      <w:r w:rsidR="00883722" w:rsidRPr="00681FA2">
        <w:t>are expected to use the most cost</w:t>
      </w:r>
      <w:r w:rsidR="008F7E73">
        <w:t>-</w:t>
      </w:r>
      <w:r w:rsidR="00883722" w:rsidRPr="00681FA2">
        <w:t xml:space="preserve">effective parking options available and </w:t>
      </w:r>
      <w:r w:rsidR="008F7E73">
        <w:t xml:space="preserve">to </w:t>
      </w:r>
      <w:r w:rsidR="00883722" w:rsidRPr="00681FA2">
        <w:t>mak</w:t>
      </w:r>
      <w:r w:rsidR="008F7E73">
        <w:t>e</w:t>
      </w:r>
      <w:r w:rsidR="00883722" w:rsidRPr="00681FA2">
        <w:t xml:space="preserve"> use of any discounted parking where available, having due regard for personal safety and other considerations, especially when travelling at night. </w:t>
      </w:r>
      <w:r w:rsidRPr="0081687E">
        <w:t>Parking fines or excess charges will not be reimbursed.</w:t>
      </w:r>
    </w:p>
    <w:p w14:paraId="130810D2" w14:textId="72BAD613" w:rsidR="00B44CC1" w:rsidRDefault="00483000" w:rsidP="00794571">
      <w:pPr>
        <w:pStyle w:val="Paragraph"/>
      </w:pPr>
      <w:r>
        <w:t>Car sharing is encouraged and as such i</w:t>
      </w:r>
      <w:r w:rsidR="00B8309A" w:rsidRPr="00681FA2">
        <w:t>f a passenger is carried to the same meeting</w:t>
      </w:r>
      <w:r w:rsidR="00B8309A" w:rsidRPr="00B8309A">
        <w:t xml:space="preserve"> or event, an additional 5p per mile can be claimed in line with HMRC recommended rates.</w:t>
      </w:r>
    </w:p>
    <w:p w14:paraId="3779FF70" w14:textId="04FEF2A9" w:rsidR="00F1488B" w:rsidRPr="00B8309A" w:rsidRDefault="00F1488B" w:rsidP="00794571">
      <w:pPr>
        <w:pStyle w:val="Paragraph"/>
      </w:pPr>
      <w:r>
        <w:t>In very exceptional circumstances</w:t>
      </w:r>
      <w:r w:rsidR="004A1C61">
        <w:t>,</w:t>
      </w:r>
      <w:r>
        <w:t xml:space="preserve"> where an individual is unable to use public transport</w:t>
      </w:r>
      <w:r w:rsidR="00E634AA">
        <w:t>,</w:t>
      </w:r>
      <w:r>
        <w:t xml:space="preserve"> </w:t>
      </w:r>
      <w:r w:rsidR="00F56715">
        <w:t xml:space="preserve">reimbursement at the </w:t>
      </w:r>
      <w:r>
        <w:t xml:space="preserve">business mileage </w:t>
      </w:r>
      <w:r w:rsidR="00F56715">
        <w:t xml:space="preserve">rate </w:t>
      </w:r>
      <w:r>
        <w:t xml:space="preserve">may be agreed </w:t>
      </w:r>
      <w:r w:rsidR="008F7E73">
        <w:t xml:space="preserve">in advance </w:t>
      </w:r>
      <w:r>
        <w:t>with the Director of Business Planning and Resources.</w:t>
      </w:r>
    </w:p>
    <w:p w14:paraId="5E493989" w14:textId="77777777" w:rsidR="00660AFC" w:rsidRPr="00D97FBD" w:rsidRDefault="00810F2A" w:rsidP="00ED3AFB">
      <w:pPr>
        <w:pStyle w:val="Heading2"/>
        <w:rPr>
          <w:color w:val="31849B" w:themeColor="accent5" w:themeShade="BF"/>
          <w:sz w:val="36"/>
          <w:szCs w:val="36"/>
        </w:rPr>
      </w:pPr>
      <w:bookmarkStart w:id="9" w:name="_Toc17796047"/>
      <w:r w:rsidRPr="00D97FBD">
        <w:rPr>
          <w:color w:val="31849B" w:themeColor="accent5" w:themeShade="BF"/>
          <w:sz w:val="36"/>
          <w:szCs w:val="36"/>
        </w:rPr>
        <w:lastRenderedPageBreak/>
        <w:t>B</w:t>
      </w:r>
      <w:r w:rsidR="00660AFC" w:rsidRPr="00D97FBD">
        <w:rPr>
          <w:color w:val="31849B" w:themeColor="accent5" w:themeShade="BF"/>
          <w:sz w:val="36"/>
          <w:szCs w:val="36"/>
        </w:rPr>
        <w:t>icycle</w:t>
      </w:r>
      <w:r w:rsidRPr="00D97FBD">
        <w:rPr>
          <w:color w:val="31849B" w:themeColor="accent5" w:themeShade="BF"/>
          <w:sz w:val="36"/>
          <w:szCs w:val="36"/>
        </w:rPr>
        <w:t xml:space="preserve"> use</w:t>
      </w:r>
      <w:bookmarkEnd w:id="9"/>
    </w:p>
    <w:p w14:paraId="3A313268" w14:textId="77777777" w:rsidR="00F1488B" w:rsidRDefault="00660AFC" w:rsidP="00794571">
      <w:pPr>
        <w:pStyle w:val="Paragraph"/>
      </w:pPr>
      <w:r>
        <w:t xml:space="preserve">NICE encourages cycling as this is consistent with its carbon reduction strategy and is likely to have health benefits to individuals. Where individuals use their own bicycle to travel on NICE business reimbursement will be at the rate set out in appendix </w:t>
      </w:r>
      <w:r w:rsidR="001C1E46">
        <w:t>2</w:t>
      </w:r>
      <w:r>
        <w:t>.</w:t>
      </w:r>
    </w:p>
    <w:p w14:paraId="0C67A05E" w14:textId="77777777" w:rsidR="002E6892" w:rsidRPr="00660AFC" w:rsidRDefault="002E6892" w:rsidP="002E6892">
      <w:pPr>
        <w:pStyle w:val="Paragraph"/>
      </w:pPr>
      <w:r>
        <w:t xml:space="preserve">NICE will reimburse cycle usage scheme in London and Manchester for journeys between stations and offices. </w:t>
      </w:r>
    </w:p>
    <w:p w14:paraId="7E7FEECA" w14:textId="77777777" w:rsidR="00907F7F" w:rsidRPr="00D97FBD" w:rsidRDefault="00907F7F" w:rsidP="00ED3AFB">
      <w:pPr>
        <w:pStyle w:val="Heading2"/>
        <w:rPr>
          <w:color w:val="31849B" w:themeColor="accent5" w:themeShade="BF"/>
          <w:sz w:val="36"/>
          <w:szCs w:val="36"/>
        </w:rPr>
      </w:pPr>
      <w:bookmarkStart w:id="10" w:name="_Toc17796048"/>
      <w:r w:rsidRPr="00D97FBD">
        <w:rPr>
          <w:color w:val="31849B" w:themeColor="accent5" w:themeShade="BF"/>
          <w:sz w:val="36"/>
          <w:szCs w:val="36"/>
        </w:rPr>
        <w:t>Accommodation</w:t>
      </w:r>
      <w:bookmarkEnd w:id="10"/>
    </w:p>
    <w:p w14:paraId="0CF8C7E0" w14:textId="5432B065" w:rsidR="00F04EBF" w:rsidRDefault="00F04EBF" w:rsidP="00794571">
      <w:pPr>
        <w:pStyle w:val="Paragraph"/>
      </w:pPr>
      <w:r>
        <w:t>Although it is not usual for NICE to cover the cost of accommodation</w:t>
      </w:r>
      <w:r w:rsidR="00491BF8">
        <w:t xml:space="preserve"> for non</w:t>
      </w:r>
      <w:r w:rsidR="00496D2D">
        <w:t>-</w:t>
      </w:r>
      <w:r w:rsidR="00491BF8">
        <w:t>staff</w:t>
      </w:r>
      <w:r>
        <w:t>, there may be circumstances where individuals may need to stay away from home in order to attend early morning meetings or where a meeting runs over multiple days. In these cases</w:t>
      </w:r>
      <w:r w:rsidR="006353E8">
        <w:t>,</w:t>
      </w:r>
      <w:r>
        <w:t xml:space="preserve"> bed and breakfast hotel accommodation </w:t>
      </w:r>
      <w:r w:rsidR="00496D2D">
        <w:t xml:space="preserve">will </w:t>
      </w:r>
      <w:r>
        <w:t xml:space="preserve">be booked </w:t>
      </w:r>
      <w:r w:rsidR="00785F51">
        <w:t xml:space="preserve">through NICE’s </w:t>
      </w:r>
      <w:r w:rsidR="00E96DD2" w:rsidRPr="00E96DD2">
        <w:t xml:space="preserve">central booking facility </w:t>
      </w:r>
      <w:r>
        <w:t xml:space="preserve">via the individual NICE team responsible for the meeting. </w:t>
      </w:r>
    </w:p>
    <w:p w14:paraId="3F18A608" w14:textId="77777777" w:rsidR="00F04EBF" w:rsidRDefault="00F04EBF" w:rsidP="00794571">
      <w:pPr>
        <w:pStyle w:val="Paragraph"/>
      </w:pPr>
      <w:r>
        <w:t>Where</w:t>
      </w:r>
      <w:r w:rsidR="004A1C61">
        <w:t xml:space="preserve"> </w:t>
      </w:r>
      <w:r>
        <w:t>it is not possible for the NICE team</w:t>
      </w:r>
      <w:r w:rsidR="004A1C61">
        <w:t xml:space="preserve"> </w:t>
      </w:r>
      <w:r>
        <w:t>to make these arrangements</w:t>
      </w:r>
      <w:r w:rsidR="004A1C61">
        <w:t>,</w:t>
      </w:r>
      <w:r>
        <w:t xml:space="preserve"> NICE will reimburse the cost of accommodation to the individual in line with the limits set out in this policy. Receipts will need to be attached to the claim.</w:t>
      </w:r>
    </w:p>
    <w:p w14:paraId="2FA64997" w14:textId="77777777" w:rsidR="00F04EBF" w:rsidRDefault="00F04EBF" w:rsidP="00794571">
      <w:pPr>
        <w:pStyle w:val="Paragraph"/>
      </w:pPr>
      <w:r>
        <w:t>Costs for overnight accommodation comprising bed and breakfast should not normally exceed:</w:t>
      </w:r>
    </w:p>
    <w:p w14:paraId="1961E0AD" w14:textId="77777777" w:rsidR="00F04EBF" w:rsidRPr="00ED3AFB" w:rsidRDefault="00F04EBF" w:rsidP="00ED3AFB">
      <w:pPr>
        <w:pStyle w:val="Bullets"/>
      </w:pPr>
      <w:r w:rsidRPr="00ED3AFB">
        <w:t>£135 per night in London</w:t>
      </w:r>
    </w:p>
    <w:p w14:paraId="5AF516E0" w14:textId="77777777" w:rsidR="00F04EBF" w:rsidRPr="00ED3AFB" w:rsidRDefault="00F04EBF" w:rsidP="00ED3AFB">
      <w:pPr>
        <w:pStyle w:val="Bullets"/>
      </w:pPr>
      <w:r w:rsidRPr="00ED3AFB">
        <w:t>£100 per night elsewhere in the UK</w:t>
      </w:r>
    </w:p>
    <w:p w14:paraId="077B7AE7" w14:textId="77777777" w:rsidR="00F04EBF" w:rsidRPr="00ED3AFB" w:rsidRDefault="00F04EBF" w:rsidP="00ED3AFB">
      <w:pPr>
        <w:pStyle w:val="Bullets"/>
      </w:pPr>
      <w:r w:rsidRPr="00ED3AFB">
        <w:t xml:space="preserve">Outside the UK may depend on the prevalent rates (which may be lower) but should not normally exceed £145 per night and limited to 4 </w:t>
      </w:r>
      <w:proofErr w:type="gramStart"/>
      <w:r w:rsidRPr="00ED3AFB">
        <w:t>star</w:t>
      </w:r>
      <w:proofErr w:type="gramEnd"/>
      <w:r w:rsidRPr="00ED3AFB">
        <w:t xml:space="preserve">. </w:t>
      </w:r>
    </w:p>
    <w:p w14:paraId="27269622" w14:textId="77777777" w:rsidR="00F04EBF" w:rsidRDefault="00F1488B" w:rsidP="00794571">
      <w:pPr>
        <w:pStyle w:val="Paragraph"/>
      </w:pPr>
      <w:r>
        <w:t>The above costs</w:t>
      </w:r>
      <w:r w:rsidR="00F04EBF">
        <w:t xml:space="preserve"> are upper limits and the lowest rate available in a reasonable standard of accommodation should be booked.</w:t>
      </w:r>
    </w:p>
    <w:p w14:paraId="0E5A6242" w14:textId="269C45E9" w:rsidR="004C36FC" w:rsidRDefault="004C36FC" w:rsidP="00794571">
      <w:pPr>
        <w:pStyle w:val="Paragraph"/>
      </w:pPr>
      <w:r>
        <w:t xml:space="preserve">There may be circumstances when these maximum rates can be exceeded </w:t>
      </w:r>
      <w:r w:rsidR="00F1488B">
        <w:t xml:space="preserve">on NICE’s </w:t>
      </w:r>
      <w:r w:rsidR="00681FA2">
        <w:t xml:space="preserve">central </w:t>
      </w:r>
      <w:r w:rsidR="00F1488B">
        <w:t xml:space="preserve">booking </w:t>
      </w:r>
      <w:r w:rsidR="00681FA2">
        <w:t xml:space="preserve">facility </w:t>
      </w:r>
      <w:r>
        <w:t>for genuine business reasons (for example, the choice of hotel was not within the individual</w:t>
      </w:r>
      <w:r w:rsidR="00491BF8">
        <w:t>’</w:t>
      </w:r>
      <w:r>
        <w:t>s control, where a particular hotel is required due to wheelchair or other access requirements, for matters of personal security or where cheaper hotels were fully booked). In such instances</w:t>
      </w:r>
      <w:r w:rsidR="006353E8">
        <w:t>,</w:t>
      </w:r>
      <w:r>
        <w:t xml:space="preserve"> approval must be obtained by the relevant budget holder</w:t>
      </w:r>
      <w:r w:rsidR="00F1488B">
        <w:t xml:space="preserve"> and from the Facilities Manager</w:t>
      </w:r>
      <w:r w:rsidR="00491BF8">
        <w:t>, who in turn will seek approval from the Director of Business Planning and Resources</w:t>
      </w:r>
      <w:r w:rsidR="004646FF">
        <w:t xml:space="preserve"> or Deputy</w:t>
      </w:r>
      <w:r w:rsidR="00496D2D">
        <w:t xml:space="preserve">. The Facilities Manager </w:t>
      </w:r>
      <w:r w:rsidR="00F1488B">
        <w:t>will work with the teams to ensure all accommodation options have been exhausted before making a booking in excess of the limit</w:t>
      </w:r>
      <w:r>
        <w:t>.</w:t>
      </w:r>
    </w:p>
    <w:p w14:paraId="3C783187" w14:textId="77777777" w:rsidR="00F1488B" w:rsidRDefault="00491BF8" w:rsidP="00794571">
      <w:pPr>
        <w:pStyle w:val="Paragraph"/>
      </w:pPr>
      <w:r>
        <w:lastRenderedPageBreak/>
        <w:t>For</w:t>
      </w:r>
      <w:r w:rsidR="00F1488B">
        <w:t xml:space="preserve"> book</w:t>
      </w:r>
      <w:r>
        <w:t>ings made</w:t>
      </w:r>
      <w:r w:rsidR="00F1488B">
        <w:t xml:space="preserve"> outside of NICE’s </w:t>
      </w:r>
      <w:r w:rsidR="00681FA2">
        <w:t xml:space="preserve">central </w:t>
      </w:r>
      <w:r w:rsidR="00F1488B">
        <w:t xml:space="preserve">booking </w:t>
      </w:r>
      <w:r w:rsidR="00681FA2">
        <w:t>facility</w:t>
      </w:r>
      <w:r w:rsidR="00F1488B">
        <w:t xml:space="preserve">, only </w:t>
      </w:r>
      <w:r w:rsidR="00496D2D">
        <w:t xml:space="preserve">an amount up to </w:t>
      </w:r>
      <w:r w:rsidR="00F1488B">
        <w:t xml:space="preserve">the maximum limit will be reimbursed. </w:t>
      </w:r>
    </w:p>
    <w:p w14:paraId="6A10E0AE" w14:textId="77777777" w:rsidR="00F17326" w:rsidRDefault="00F17326" w:rsidP="00794571">
      <w:pPr>
        <w:pStyle w:val="Paragraph"/>
      </w:pPr>
      <w:r>
        <w:t>Any additional services such as room service, mini bar, newspapers etc. used whilst at the hotel must be paid for directly by the individual and will not be reimbursed.</w:t>
      </w:r>
    </w:p>
    <w:p w14:paraId="24886ED8" w14:textId="77777777" w:rsidR="00F17326" w:rsidRDefault="00F17326" w:rsidP="00794571">
      <w:pPr>
        <w:pStyle w:val="Paragraph"/>
      </w:pPr>
      <w:r>
        <w:t xml:space="preserve">Where an individual chooses to stay overnight away from home with relatives, friends or a colleague instead of a hotel, a flat rate of £25 per night will be reimbursed. Individuals are only entitled to claim for this allowance where the normal requirements for a hotel are met (see paragraph </w:t>
      </w:r>
      <w:r w:rsidR="00BB1F91">
        <w:t>33</w:t>
      </w:r>
      <w:r w:rsidR="003F4B7D">
        <w:t>).</w:t>
      </w:r>
      <w:r w:rsidR="00772F9C">
        <w:t xml:space="preserve"> </w:t>
      </w:r>
    </w:p>
    <w:p w14:paraId="21112312" w14:textId="77777777" w:rsidR="00C8336E" w:rsidRPr="00D97FBD" w:rsidRDefault="00C8336E" w:rsidP="00ED3AFB">
      <w:pPr>
        <w:pStyle w:val="Heading2"/>
        <w:rPr>
          <w:color w:val="31849B" w:themeColor="accent5" w:themeShade="BF"/>
          <w:sz w:val="36"/>
          <w:szCs w:val="36"/>
        </w:rPr>
      </w:pPr>
      <w:bookmarkStart w:id="11" w:name="_Toc17796049"/>
      <w:r w:rsidRPr="00D97FBD">
        <w:rPr>
          <w:color w:val="31849B" w:themeColor="accent5" w:themeShade="BF"/>
          <w:sz w:val="36"/>
          <w:szCs w:val="36"/>
        </w:rPr>
        <w:t>Rechargeable activities</w:t>
      </w:r>
      <w:bookmarkEnd w:id="11"/>
    </w:p>
    <w:p w14:paraId="297B31C6" w14:textId="77777777" w:rsidR="00C8336E" w:rsidRDefault="001F43BF" w:rsidP="00C8336E">
      <w:pPr>
        <w:pStyle w:val="Paragraph"/>
      </w:pPr>
      <w:r>
        <w:t>Where individuals are engaged by a third party to attend an event or carry out an activity on behalf of NICE</w:t>
      </w:r>
      <w:r w:rsidR="00960707">
        <w:t>,</w:t>
      </w:r>
      <w:r w:rsidR="00C8336E">
        <w:t xml:space="preserve"> for example a speaking engagement for which a third party has agreed to reimburse their expenses (</w:t>
      </w:r>
      <w:r w:rsidR="00725569">
        <w:t xml:space="preserve">such as </w:t>
      </w:r>
      <w:r w:rsidR="00C8336E">
        <w:t>presenting at a conference or event)</w:t>
      </w:r>
      <w:r w:rsidR="00960707">
        <w:t>,</w:t>
      </w:r>
      <w:r>
        <w:t xml:space="preserve"> then the team coordinator should</w:t>
      </w:r>
      <w:r w:rsidR="00C8336E">
        <w:t>:</w:t>
      </w:r>
    </w:p>
    <w:p w14:paraId="7631304C" w14:textId="77777777" w:rsidR="00C8336E" w:rsidRPr="00473D71" w:rsidRDefault="00C8336E" w:rsidP="00ED3AFB">
      <w:pPr>
        <w:pStyle w:val="Bullets"/>
      </w:pPr>
      <w:r>
        <w:t>Co</w:t>
      </w:r>
      <w:r w:rsidRPr="00473D71">
        <w:t xml:space="preserve">ntact </w:t>
      </w:r>
      <w:r w:rsidR="00473D71" w:rsidRPr="00473D71">
        <w:t>f</w:t>
      </w:r>
      <w:r w:rsidRPr="00473D71">
        <w:t xml:space="preserve">inance to arrange for the third party to pay for travel and accommodation in advance; </w:t>
      </w:r>
    </w:p>
    <w:p w14:paraId="5816DCBA" w14:textId="77777777" w:rsidR="00C8336E" w:rsidRPr="00473D71" w:rsidRDefault="00473D71" w:rsidP="00C8336E">
      <w:pPr>
        <w:pStyle w:val="Paragraphnonumbers"/>
        <w:ind w:left="1004"/>
      </w:pPr>
      <w:r w:rsidRPr="00473D71">
        <w:t>or</w:t>
      </w:r>
    </w:p>
    <w:p w14:paraId="001EB500" w14:textId="77777777" w:rsidR="00C8336E" w:rsidRDefault="00C8336E" w:rsidP="00473D71">
      <w:pPr>
        <w:pStyle w:val="Bullets"/>
      </w:pPr>
      <w:r w:rsidRPr="00473D71">
        <w:t>Arr</w:t>
      </w:r>
      <w:r w:rsidRPr="001E4BF6">
        <w:t xml:space="preserve">ange the booking </w:t>
      </w:r>
      <w:r>
        <w:t>through the NICE internal booking systems</w:t>
      </w:r>
      <w:r w:rsidRPr="001E4BF6">
        <w:t>, pay</w:t>
      </w:r>
      <w:r>
        <w:t xml:space="preserve"> expenses</w:t>
      </w:r>
      <w:r w:rsidRPr="001E4BF6">
        <w:t xml:space="preserve"> directly and claim back using the online expenses system and inform Finance, who </w:t>
      </w:r>
      <w:r w:rsidRPr="00ED3AFB">
        <w:t>will</w:t>
      </w:r>
      <w:r w:rsidRPr="001E4BF6">
        <w:t xml:space="preserve"> recover the expenses and other costs by invoicing the third party directly.</w:t>
      </w:r>
    </w:p>
    <w:p w14:paraId="351263EB" w14:textId="77777777" w:rsidR="00725569" w:rsidRDefault="00725569" w:rsidP="007A5402">
      <w:pPr>
        <w:pStyle w:val="Paragraph"/>
        <w:numPr>
          <w:ilvl w:val="0"/>
          <w:numId w:val="0"/>
        </w:numPr>
        <w:rPr>
          <w:b/>
          <w:sz w:val="28"/>
          <w:szCs w:val="28"/>
        </w:rPr>
      </w:pPr>
    </w:p>
    <w:p w14:paraId="1D8FFA94" w14:textId="77777777" w:rsidR="0024588F" w:rsidRPr="00D97FBD" w:rsidRDefault="0024588F" w:rsidP="00473D71">
      <w:pPr>
        <w:pStyle w:val="Heading1"/>
        <w:rPr>
          <w:color w:val="31849B" w:themeColor="accent5" w:themeShade="BF"/>
          <w:sz w:val="40"/>
          <w:szCs w:val="40"/>
        </w:rPr>
      </w:pPr>
      <w:bookmarkStart w:id="12" w:name="_Toc17796050"/>
      <w:r w:rsidRPr="00D97FBD">
        <w:rPr>
          <w:color w:val="31849B" w:themeColor="accent5" w:themeShade="BF"/>
          <w:sz w:val="40"/>
          <w:szCs w:val="40"/>
        </w:rPr>
        <w:t>Section 2 – Subsistence</w:t>
      </w:r>
      <w:r w:rsidR="004806E2" w:rsidRPr="00D97FBD">
        <w:rPr>
          <w:color w:val="31849B" w:themeColor="accent5" w:themeShade="BF"/>
          <w:sz w:val="40"/>
          <w:szCs w:val="40"/>
        </w:rPr>
        <w:t>, carers, additional support and incidentals</w:t>
      </w:r>
      <w:bookmarkEnd w:id="12"/>
    </w:p>
    <w:p w14:paraId="378CB737" w14:textId="77777777" w:rsidR="0024588F" w:rsidRPr="00D97FBD" w:rsidRDefault="0024588F" w:rsidP="00ED3AFB">
      <w:pPr>
        <w:pStyle w:val="Heading2"/>
        <w:rPr>
          <w:color w:val="31849B" w:themeColor="accent5" w:themeShade="BF"/>
          <w:sz w:val="36"/>
          <w:szCs w:val="36"/>
        </w:rPr>
      </w:pPr>
      <w:bookmarkStart w:id="13" w:name="_Toc17796051"/>
      <w:r w:rsidRPr="00D97FBD">
        <w:rPr>
          <w:color w:val="31849B" w:themeColor="accent5" w:themeShade="BF"/>
          <w:sz w:val="36"/>
          <w:szCs w:val="36"/>
        </w:rPr>
        <w:t>Subsistence</w:t>
      </w:r>
      <w:bookmarkEnd w:id="13"/>
    </w:p>
    <w:p w14:paraId="2C5D7C58" w14:textId="2D22AEE5" w:rsidR="0024588F" w:rsidRDefault="0024588F" w:rsidP="00473D71">
      <w:pPr>
        <w:pStyle w:val="Paragraph"/>
      </w:pPr>
      <w:r>
        <w:t>A subsistence allowance is a contribution to the cost of meals for the time a person is engaged on NICE business</w:t>
      </w:r>
      <w:r w:rsidR="006353E8">
        <w:t xml:space="preserve"> </w:t>
      </w:r>
      <w:r w:rsidR="003F14D0">
        <w:t>and incurs additional costs as a result of being away from home or usual place of work</w:t>
      </w:r>
      <w:r>
        <w:t>.  Subsistence allowances are payable to individuals attending a NICE business meeting for a period of 5 hours or more, including travel time.  As subsistence is an allowance, receipts are not required.  Details of subsistence allowances are listed in appendix 1.</w:t>
      </w:r>
    </w:p>
    <w:p w14:paraId="1977FAC3" w14:textId="77777777" w:rsidR="0024588F" w:rsidRDefault="0024588F" w:rsidP="00473D71">
      <w:pPr>
        <w:pStyle w:val="Paragraph"/>
      </w:pPr>
      <w:r>
        <w:t xml:space="preserve">A maximum of one subsistence rate may be claimed for each </w:t>
      </w:r>
      <w:proofErr w:type="gramStart"/>
      <w:r>
        <w:t>24 hour</w:t>
      </w:r>
      <w:proofErr w:type="gramEnd"/>
      <w:r>
        <w:t xml:space="preserve"> period. Subsistence cannot be claimed for meals that have been provided by NICE or a third party, for example, meals provided at a meeting, seminar, training </w:t>
      </w:r>
      <w:r>
        <w:lastRenderedPageBreak/>
        <w:t xml:space="preserve">course, workshop or conference, or if the hotel accommodation includes </w:t>
      </w:r>
      <w:r w:rsidR="00F13C7A">
        <w:t xml:space="preserve">breakfast or </w:t>
      </w:r>
      <w:r>
        <w:t>an evening meal (see appendix 1 for further details).</w:t>
      </w:r>
    </w:p>
    <w:p w14:paraId="2ADBC68F" w14:textId="77777777" w:rsidR="007759D0" w:rsidRPr="00D97FBD" w:rsidRDefault="007759D0" w:rsidP="00473D71">
      <w:pPr>
        <w:pStyle w:val="Heading2"/>
        <w:rPr>
          <w:color w:val="31849B" w:themeColor="accent5" w:themeShade="BF"/>
          <w:sz w:val="36"/>
          <w:szCs w:val="36"/>
        </w:rPr>
      </w:pPr>
      <w:bookmarkStart w:id="14" w:name="_Toc17796052"/>
      <w:r w:rsidRPr="00D97FBD">
        <w:rPr>
          <w:color w:val="31849B" w:themeColor="accent5" w:themeShade="BF"/>
          <w:sz w:val="36"/>
          <w:szCs w:val="36"/>
        </w:rPr>
        <w:t>Carer</w:t>
      </w:r>
      <w:r w:rsidR="004806E2" w:rsidRPr="00D97FBD">
        <w:rPr>
          <w:color w:val="31849B" w:themeColor="accent5" w:themeShade="BF"/>
          <w:sz w:val="36"/>
          <w:szCs w:val="36"/>
        </w:rPr>
        <w:t>s</w:t>
      </w:r>
      <w:r w:rsidRPr="00D97FBD">
        <w:rPr>
          <w:color w:val="31849B" w:themeColor="accent5" w:themeShade="BF"/>
          <w:sz w:val="36"/>
          <w:szCs w:val="36"/>
        </w:rPr>
        <w:t>, support worker and childcare expenses</w:t>
      </w:r>
      <w:bookmarkEnd w:id="14"/>
    </w:p>
    <w:p w14:paraId="4C5D2CDF" w14:textId="77777777" w:rsidR="007759D0" w:rsidRDefault="007759D0" w:rsidP="007759D0">
      <w:pPr>
        <w:pStyle w:val="Paragraph"/>
      </w:pPr>
      <w:r>
        <w:t xml:space="preserve">NICE recognises that in some circumstances individuals will need to arrange for carers or support workers to accompany them to a meeting, or to take over </w:t>
      </w:r>
      <w:r w:rsidR="002E6892">
        <w:t xml:space="preserve">unpaid </w:t>
      </w:r>
      <w:r>
        <w:t>caring responsibilities while they are at a meeting</w:t>
      </w:r>
      <w:r w:rsidR="00F13C7A">
        <w:t xml:space="preserve"> – this </w:t>
      </w:r>
      <w:r>
        <w:t>includ</w:t>
      </w:r>
      <w:r w:rsidR="00F13C7A">
        <w:t>es</w:t>
      </w:r>
      <w:r>
        <w:t xml:space="preserve"> childcare or care of a family member with a disability or other additional needs.</w:t>
      </w:r>
      <w:r w:rsidR="003564A3">
        <w:t xml:space="preserve"> </w:t>
      </w:r>
    </w:p>
    <w:p w14:paraId="2D8F4772" w14:textId="77777777" w:rsidR="007759D0" w:rsidRPr="003E0A5B" w:rsidRDefault="007759D0" w:rsidP="007759D0">
      <w:pPr>
        <w:pStyle w:val="Paragraph"/>
      </w:pPr>
      <w:r>
        <w:t xml:space="preserve">NICE will meet the reasonable costs incurred by individuals for employing a carer or support worker. </w:t>
      </w:r>
      <w:r w:rsidRPr="00794571">
        <w:t>There</w:t>
      </w:r>
      <w:r>
        <w:t xml:space="preserve"> is no set rate, as we understand that this can vary significantly depending on the type of care and/or support needed. NICE will reimburse the actual costs incurred by the individual.  Receipts or other evidence of expenditure such as an invoice must be included with the claim for reimbursement. For the avoidance of doubt, the care or support worker is engaged by the individual and not NICE</w:t>
      </w:r>
      <w:r w:rsidR="00F13C7A">
        <w:t xml:space="preserve">.  </w:t>
      </w:r>
      <w:r w:rsidRPr="003E0A5B">
        <w:t xml:space="preserve">NICE will only reimburse invoices and receipts </w:t>
      </w:r>
      <w:r w:rsidR="00F13C7A" w:rsidRPr="003E0A5B">
        <w:t xml:space="preserve">for carer expenses </w:t>
      </w:r>
      <w:r w:rsidRPr="003E0A5B">
        <w:t>from professional registered agencies</w:t>
      </w:r>
      <w:r>
        <w:t>. The receipt or evidence should provide details of the carer’s or support worker</w:t>
      </w:r>
      <w:r w:rsidR="00F13C7A">
        <w:t>’</w:t>
      </w:r>
      <w:r>
        <w:t>s registration and/or the professionally registered organisation or individual providing the care.</w:t>
      </w:r>
      <w:r w:rsidRPr="00EC3588">
        <w:t xml:space="preserve"> For reimbursement of childcare </w:t>
      </w:r>
      <w:proofErr w:type="gramStart"/>
      <w:r w:rsidRPr="00EC3588">
        <w:t>costs</w:t>
      </w:r>
      <w:proofErr w:type="gramEnd"/>
      <w:r w:rsidRPr="00EC3588">
        <w:t xml:space="preserve"> the provider must be Ofsted registered.</w:t>
      </w:r>
      <w:r>
        <w:t xml:space="preserve"> </w:t>
      </w:r>
    </w:p>
    <w:p w14:paraId="6CB4B17C" w14:textId="77777777" w:rsidR="007759D0" w:rsidRDefault="007759D0" w:rsidP="007759D0">
      <w:pPr>
        <w:pStyle w:val="Paragraph"/>
      </w:pPr>
      <w:r>
        <w:t>Within the above guidelines, NICE will cover the following costs:</w:t>
      </w:r>
    </w:p>
    <w:p w14:paraId="6B09D06A" w14:textId="77777777" w:rsidR="007759D0" w:rsidRPr="00ED3AFB" w:rsidRDefault="007759D0" w:rsidP="00ED3AFB">
      <w:pPr>
        <w:pStyle w:val="Bullets"/>
      </w:pPr>
      <w:r w:rsidRPr="00ED3AFB">
        <w:t xml:space="preserve">The hourly rate cost paid to a professionally registered agency for a </w:t>
      </w:r>
      <w:proofErr w:type="spellStart"/>
      <w:r w:rsidRPr="00ED3AFB">
        <w:t>carer</w:t>
      </w:r>
      <w:proofErr w:type="spellEnd"/>
      <w:r w:rsidRPr="00ED3AFB">
        <w:t xml:space="preserve">, support worker, or other professional for accompanying an individual to a meeting. This includes hourly rate costs for travel time to and from the meeting. </w:t>
      </w:r>
    </w:p>
    <w:p w14:paraId="728D61C6" w14:textId="77777777" w:rsidR="007759D0" w:rsidRPr="00ED3AFB" w:rsidRDefault="007759D0" w:rsidP="00ED3AFB">
      <w:pPr>
        <w:pStyle w:val="Bullets"/>
      </w:pPr>
      <w:r w:rsidRPr="00ED3AFB">
        <w:t>Travel booked by NICE via our central booking facility, or reimbursed travel and subsistence expenses for the carer, support worker or other professional, in line with NICE rates, should an individual attendee require a carer to accompany them. This is in addition to the hourly rate claimed</w:t>
      </w:r>
      <w:r w:rsidR="00F13C7A" w:rsidRPr="00ED3AFB">
        <w:t xml:space="preserve"> for the cost of hiring the carer or support worker</w:t>
      </w:r>
      <w:r w:rsidRPr="00ED3AFB">
        <w:t>.</w:t>
      </w:r>
    </w:p>
    <w:p w14:paraId="34ECDF18" w14:textId="77777777" w:rsidR="003F6813" w:rsidRPr="00ED3AFB" w:rsidRDefault="003F6813" w:rsidP="00ED3AFB">
      <w:pPr>
        <w:pStyle w:val="Bullets"/>
      </w:pPr>
      <w:r w:rsidRPr="00ED3AFB">
        <w:t>Accommodation booked by NICE via our central booking facility, or reimbursed travel and subsistence expenses for the carer, support worker or other professional, in line with NICE rates, should an individual attendee require a carer to accompany them overnight.</w:t>
      </w:r>
    </w:p>
    <w:p w14:paraId="7E37606D" w14:textId="77777777" w:rsidR="007759D0" w:rsidRPr="00ED3AFB" w:rsidRDefault="007759D0" w:rsidP="00ED3AFB">
      <w:pPr>
        <w:pStyle w:val="Bullets"/>
      </w:pPr>
      <w:r w:rsidRPr="00ED3AFB">
        <w:t xml:space="preserve">The hourly rate cost paid to a professional registered agency for a </w:t>
      </w:r>
      <w:proofErr w:type="spellStart"/>
      <w:r w:rsidRPr="00ED3AFB">
        <w:t>carer</w:t>
      </w:r>
      <w:proofErr w:type="spellEnd"/>
      <w:r w:rsidRPr="00ED3AFB">
        <w:t>, support worker or other professional to backfill an individual’s caring responsibilities to enable them to attend the meeting.</w:t>
      </w:r>
    </w:p>
    <w:p w14:paraId="2D7B2518" w14:textId="77777777" w:rsidR="007759D0" w:rsidRPr="00ED3AFB" w:rsidRDefault="007759D0" w:rsidP="00ED3AFB">
      <w:pPr>
        <w:pStyle w:val="Bullets"/>
      </w:pPr>
      <w:r w:rsidRPr="00ED3AFB">
        <w:t xml:space="preserve">The hourly or day rate cost paid to an Ofsted registered agency or individual for childcare for pre-school age children and/or childcare </w:t>
      </w:r>
      <w:r w:rsidRPr="00ED3AFB">
        <w:lastRenderedPageBreak/>
        <w:t>outside of school hours to enable the parent or carer to attend the meeting.</w:t>
      </w:r>
    </w:p>
    <w:p w14:paraId="684AC7FB" w14:textId="77777777" w:rsidR="007759D0" w:rsidRDefault="007759D0" w:rsidP="007759D0">
      <w:pPr>
        <w:pStyle w:val="Paragraph"/>
      </w:pPr>
      <w:r w:rsidRPr="00383D77">
        <w:t xml:space="preserve">NICE will make a flat-rate contribution of £25 for out of pocket expenses, </w:t>
      </w:r>
      <w:r>
        <w:t xml:space="preserve">claimed </w:t>
      </w:r>
      <w:r w:rsidRPr="00383D77">
        <w:t>via the online expenses system, to people with car</w:t>
      </w:r>
      <w:r>
        <w:t>ing</w:t>
      </w:r>
      <w:r w:rsidRPr="00383D77">
        <w:t xml:space="preserve"> responsibilities who are inconvenienced in some way but do not use a registered agency (for example </w:t>
      </w:r>
      <w:r>
        <w:t xml:space="preserve">people who </w:t>
      </w:r>
      <w:r w:rsidRPr="00383D77">
        <w:t>use</w:t>
      </w:r>
      <w:r>
        <w:t xml:space="preserve"> the services of</w:t>
      </w:r>
      <w:r w:rsidRPr="00383D77">
        <w:t xml:space="preserve"> a family member or friend).</w:t>
      </w:r>
      <w:r w:rsidR="004806E2" w:rsidRPr="004806E2">
        <w:t xml:space="preserve"> </w:t>
      </w:r>
      <w:r w:rsidR="00772F9C">
        <w:t xml:space="preserve"> </w:t>
      </w:r>
    </w:p>
    <w:p w14:paraId="17E6E637" w14:textId="77777777" w:rsidR="008265A1" w:rsidRPr="00D97FBD" w:rsidRDefault="008265A1" w:rsidP="008265A1">
      <w:pPr>
        <w:pStyle w:val="Heading2"/>
        <w:rPr>
          <w:color w:val="31849B" w:themeColor="accent5" w:themeShade="BF"/>
          <w:sz w:val="36"/>
          <w:szCs w:val="36"/>
        </w:rPr>
      </w:pPr>
      <w:bookmarkStart w:id="15" w:name="_Toc17796053"/>
      <w:r w:rsidRPr="00D97FBD">
        <w:rPr>
          <w:color w:val="31849B" w:themeColor="accent5" w:themeShade="BF"/>
          <w:sz w:val="36"/>
          <w:szCs w:val="36"/>
        </w:rPr>
        <w:t>Additional support on NICE’s premises</w:t>
      </w:r>
      <w:bookmarkEnd w:id="15"/>
    </w:p>
    <w:p w14:paraId="101A9364" w14:textId="37A5E7BC" w:rsidR="007759D0" w:rsidRDefault="007759D0" w:rsidP="007759D0">
      <w:pPr>
        <w:pStyle w:val="Paragraph"/>
        <w:rPr>
          <w:sz w:val="22"/>
          <w:szCs w:val="32"/>
        </w:rPr>
      </w:pPr>
      <w:r w:rsidRPr="00827318">
        <w:t>NICE wishes to support people who may need assistance to help them take part in our committee meetings or groups</w:t>
      </w:r>
      <w:r w:rsidR="008265A1">
        <w:t xml:space="preserve"> and will make reasonable adjustments in order to do so</w:t>
      </w:r>
      <w:r w:rsidRPr="00827318">
        <w:t>. The assistance may include using a Speech-To-Text Typist, note taker or British Sign Language interpreter. Where such support is required this should be discussed and agreed with NICE in advance</w:t>
      </w:r>
      <w:r w:rsidR="008265A1">
        <w:t xml:space="preserve"> and arranged either by NICE or</w:t>
      </w:r>
      <w:r w:rsidRPr="00827318">
        <w:t xml:space="preserve"> by the individual.</w:t>
      </w:r>
      <w:r w:rsidR="00483000">
        <w:t xml:space="preserve"> If arranged by the individual, prior agreement should be sought from the team organising the committee. NICE will only reimburse </w:t>
      </w:r>
      <w:r w:rsidR="00AF3329">
        <w:t>registered businesses at current market rates. Once it has been agreed the team organising the meetings</w:t>
      </w:r>
      <w:r w:rsidR="00483000">
        <w:t xml:space="preserve"> will provide a purc</w:t>
      </w:r>
      <w:r w:rsidR="00AF3329">
        <w:t xml:space="preserve">hase order number. The purchase order number </w:t>
      </w:r>
      <w:r w:rsidR="00D83D3D">
        <w:t>should</w:t>
      </w:r>
      <w:r w:rsidR="00AF3329">
        <w:t xml:space="preserve"> be passed on to the supplier along with the following address in order that th</w:t>
      </w:r>
      <w:r w:rsidR="003F14D0">
        <w:t>e</w:t>
      </w:r>
      <w:r w:rsidR="00AF3329">
        <w:t xml:space="preserve"> invoice can be processed. </w:t>
      </w:r>
      <w:r w:rsidR="00BC3BAB" w:rsidRPr="0028782D">
        <w:t>NICE T53 Payables 4545, Phoenix House, Topcliffe Lane, Wakefield, WF3 1WE.</w:t>
      </w:r>
    </w:p>
    <w:p w14:paraId="66951AC6" w14:textId="77777777" w:rsidR="007759D0" w:rsidRPr="002B22DC" w:rsidRDefault="004806E2" w:rsidP="00473D71">
      <w:pPr>
        <w:pStyle w:val="Heading2"/>
        <w:rPr>
          <w:color w:val="31849B" w:themeColor="accent5" w:themeShade="BF"/>
          <w:sz w:val="36"/>
          <w:szCs w:val="36"/>
        </w:rPr>
      </w:pPr>
      <w:bookmarkStart w:id="16" w:name="_Toc17796054"/>
      <w:r w:rsidRPr="002B22DC">
        <w:rPr>
          <w:color w:val="31849B" w:themeColor="accent5" w:themeShade="BF"/>
          <w:sz w:val="36"/>
          <w:szCs w:val="36"/>
        </w:rPr>
        <w:t xml:space="preserve">Incidental </w:t>
      </w:r>
      <w:r w:rsidR="00C8336E" w:rsidRPr="002B22DC">
        <w:rPr>
          <w:color w:val="31849B" w:themeColor="accent5" w:themeShade="BF"/>
          <w:sz w:val="36"/>
          <w:szCs w:val="36"/>
        </w:rPr>
        <w:t xml:space="preserve">and other </w:t>
      </w:r>
      <w:r w:rsidRPr="002B22DC">
        <w:rPr>
          <w:color w:val="31849B" w:themeColor="accent5" w:themeShade="BF"/>
          <w:sz w:val="36"/>
          <w:szCs w:val="36"/>
        </w:rPr>
        <w:t>b</w:t>
      </w:r>
      <w:r w:rsidR="007759D0" w:rsidRPr="002B22DC">
        <w:rPr>
          <w:color w:val="31849B" w:themeColor="accent5" w:themeShade="BF"/>
          <w:sz w:val="36"/>
          <w:szCs w:val="36"/>
        </w:rPr>
        <w:t>usiness expenses</w:t>
      </w:r>
      <w:bookmarkEnd w:id="16"/>
    </w:p>
    <w:p w14:paraId="013107A8" w14:textId="77777777" w:rsidR="0024588F" w:rsidRDefault="007759D0" w:rsidP="004806E2">
      <w:pPr>
        <w:pStyle w:val="Paragraph"/>
      </w:pPr>
      <w:r>
        <w:t xml:space="preserve">Individuals may </w:t>
      </w:r>
      <w:r w:rsidR="004806E2">
        <w:t xml:space="preserve">make a reasonable </w:t>
      </w:r>
      <w:r>
        <w:t>claim for postage, telephone usage and other incidental business expenditure incurred while engaged on NICE business for which itemised receipts should be provided.</w:t>
      </w:r>
    </w:p>
    <w:p w14:paraId="50FF76D2" w14:textId="77777777" w:rsidR="00C8336E" w:rsidRPr="00F04EBF" w:rsidRDefault="00C8336E" w:rsidP="00C8336E">
      <w:pPr>
        <w:pStyle w:val="Paragraph"/>
      </w:pPr>
      <w:r w:rsidRPr="00F12B22">
        <w:t xml:space="preserve">In circumstances where an individual could incur other expenses that are not explicitly covered by this policy then </w:t>
      </w:r>
      <w:r w:rsidRPr="00FD333A">
        <w:t>reimbursement may be available providing agreement has been reached in advance with the Business Planning and Resources Director</w:t>
      </w:r>
      <w:r w:rsidR="00BC3BAB">
        <w:t xml:space="preserve"> or nominated deputy</w:t>
      </w:r>
      <w:r w:rsidRPr="00FD333A">
        <w:t xml:space="preserve">. </w:t>
      </w:r>
    </w:p>
    <w:p w14:paraId="737E385E" w14:textId="77777777" w:rsidR="00BC3BAB" w:rsidRPr="00D97FBD" w:rsidRDefault="00BC3BAB" w:rsidP="00BC3BAB">
      <w:pPr>
        <w:pStyle w:val="Heading1"/>
        <w:rPr>
          <w:rFonts w:cs="Arial"/>
          <w:color w:val="31849B" w:themeColor="accent5" w:themeShade="BF"/>
          <w:sz w:val="40"/>
          <w:szCs w:val="40"/>
        </w:rPr>
      </w:pPr>
      <w:bookmarkStart w:id="17" w:name="_Lay_contributor_payments"/>
      <w:bookmarkStart w:id="18" w:name="_Toc17796055"/>
      <w:bookmarkStart w:id="19" w:name="laycontributors"/>
      <w:bookmarkEnd w:id="17"/>
      <w:r w:rsidRPr="00D97FBD">
        <w:rPr>
          <w:rFonts w:cs="Arial"/>
          <w:color w:val="31849B" w:themeColor="accent5" w:themeShade="BF"/>
          <w:sz w:val="40"/>
          <w:szCs w:val="40"/>
        </w:rPr>
        <w:t xml:space="preserve">Section 3 – </w:t>
      </w:r>
      <w:r w:rsidR="00062CFA" w:rsidRPr="00D97FBD">
        <w:rPr>
          <w:rFonts w:cs="Arial"/>
          <w:color w:val="31849B" w:themeColor="accent5" w:themeShade="BF"/>
          <w:sz w:val="40"/>
          <w:szCs w:val="40"/>
        </w:rPr>
        <w:t>P</w:t>
      </w:r>
      <w:r w:rsidRPr="00D97FBD">
        <w:rPr>
          <w:rFonts w:cs="Arial"/>
          <w:color w:val="31849B" w:themeColor="accent5" w:themeShade="BF"/>
          <w:sz w:val="40"/>
          <w:szCs w:val="40"/>
        </w:rPr>
        <w:t>ayments and reimbursements</w:t>
      </w:r>
      <w:bookmarkEnd w:id="18"/>
    </w:p>
    <w:p w14:paraId="4C4570E6" w14:textId="77777777" w:rsidR="00907F7F" w:rsidRPr="002B22DC" w:rsidRDefault="00907F7F" w:rsidP="00ED3AFB">
      <w:pPr>
        <w:pStyle w:val="Heading2"/>
        <w:rPr>
          <w:rFonts w:cs="Arial"/>
          <w:color w:val="31849B" w:themeColor="accent5" w:themeShade="BF"/>
          <w:sz w:val="36"/>
          <w:szCs w:val="36"/>
        </w:rPr>
      </w:pPr>
      <w:bookmarkStart w:id="20" w:name="_Toc17796056"/>
      <w:r w:rsidRPr="002B22DC">
        <w:rPr>
          <w:rFonts w:cs="Arial"/>
          <w:color w:val="31849B" w:themeColor="accent5" w:themeShade="BF"/>
          <w:sz w:val="36"/>
          <w:szCs w:val="36"/>
        </w:rPr>
        <w:t xml:space="preserve">Lay </w:t>
      </w:r>
      <w:r w:rsidR="008F4134" w:rsidRPr="002B22DC">
        <w:rPr>
          <w:rFonts w:cs="Arial"/>
          <w:color w:val="31849B" w:themeColor="accent5" w:themeShade="BF"/>
          <w:sz w:val="36"/>
          <w:szCs w:val="36"/>
        </w:rPr>
        <w:t>contributor payments</w:t>
      </w:r>
      <w:bookmarkEnd w:id="20"/>
      <w:r w:rsidR="00F92360" w:rsidRPr="002B22DC">
        <w:rPr>
          <w:rFonts w:cs="Arial"/>
          <w:color w:val="31849B" w:themeColor="accent5" w:themeShade="BF"/>
          <w:sz w:val="36"/>
          <w:szCs w:val="36"/>
        </w:rPr>
        <w:t xml:space="preserve"> </w:t>
      </w:r>
    </w:p>
    <w:bookmarkEnd w:id="19"/>
    <w:p w14:paraId="1F09000C" w14:textId="77777777" w:rsidR="007F36F0" w:rsidRPr="007F36F0" w:rsidRDefault="007F36F0" w:rsidP="007F36F0">
      <w:pPr>
        <w:pStyle w:val="Paragraph"/>
      </w:pPr>
      <w:r w:rsidRPr="007F36F0">
        <w:t xml:space="preserve">Lay contributors involved with NICE advisory committees and other ad hoc advisory groups are offered an </w:t>
      </w:r>
      <w:r w:rsidR="003F4B7D">
        <w:t>honorarium</w:t>
      </w:r>
      <w:r w:rsidRPr="007F36F0">
        <w:t xml:space="preserve"> for their contributions. </w:t>
      </w:r>
    </w:p>
    <w:p w14:paraId="375393B1" w14:textId="77777777" w:rsidR="007F36F0" w:rsidRPr="007F36F0" w:rsidRDefault="007F36F0" w:rsidP="00062B0B">
      <w:pPr>
        <w:pStyle w:val="Paragraph"/>
      </w:pPr>
      <w:r w:rsidRPr="007F36F0">
        <w:t xml:space="preserve">Lay contributors are </w:t>
      </w:r>
      <w:r w:rsidR="0081687E">
        <w:t xml:space="preserve">individuals who </w:t>
      </w:r>
      <w:r w:rsidR="00062B0B">
        <w:t>have been selected and specifically invite</w:t>
      </w:r>
      <w:r w:rsidR="00D73A05">
        <w:t>d</w:t>
      </w:r>
      <w:r w:rsidR="00062B0B">
        <w:t xml:space="preserve"> to contribute </w:t>
      </w:r>
      <w:r w:rsidR="0081687E">
        <w:t>a</w:t>
      </w:r>
      <w:r w:rsidR="00062B0B">
        <w:t xml:space="preserve"> relevant</w:t>
      </w:r>
      <w:r w:rsidR="0081687E">
        <w:t xml:space="preserve"> </w:t>
      </w:r>
      <w:r w:rsidRPr="007F36F0">
        <w:t xml:space="preserve">lay </w:t>
      </w:r>
      <w:r w:rsidR="0081687E">
        <w:t>perspective</w:t>
      </w:r>
      <w:r w:rsidRPr="007F36F0">
        <w:t xml:space="preserve"> to NICE’s work</w:t>
      </w:r>
      <w:r w:rsidR="00062B0B">
        <w:t>, irrespective of whether they are a paid employee of another organisation</w:t>
      </w:r>
      <w:r w:rsidRPr="007F36F0">
        <w:t xml:space="preserve">. </w:t>
      </w:r>
      <w:r w:rsidR="00062B0B">
        <w:t xml:space="preserve">Examples include (but are not limited to) people recruited to lay member roles on our committees and other advisory groups, those asked to speak at our annual conference, or </w:t>
      </w:r>
      <w:r w:rsidR="00062B0B">
        <w:lastRenderedPageBreak/>
        <w:t xml:space="preserve">those asked to give their personal testimony to one of our committees or advisory groups. </w:t>
      </w:r>
      <w:r w:rsidRPr="007F36F0">
        <w:t>They include the following:</w:t>
      </w:r>
    </w:p>
    <w:p w14:paraId="1C55C425" w14:textId="77777777" w:rsidR="00062B0B" w:rsidRPr="00ED3AFB" w:rsidRDefault="00062B0B" w:rsidP="00473D71">
      <w:pPr>
        <w:pStyle w:val="Bullets"/>
      </w:pPr>
      <w:r w:rsidRPr="00ED3AFB">
        <w:t>P</w:t>
      </w:r>
      <w:r w:rsidR="007F36F0" w:rsidRPr="00ED3AFB">
        <w:t xml:space="preserve">atients </w:t>
      </w:r>
    </w:p>
    <w:p w14:paraId="215286ED" w14:textId="77777777" w:rsidR="00062B0B" w:rsidRPr="00ED3AFB" w:rsidRDefault="00062B0B" w:rsidP="00473D71">
      <w:pPr>
        <w:pStyle w:val="Bullets"/>
      </w:pPr>
      <w:r w:rsidRPr="00ED3AFB">
        <w:t>S</w:t>
      </w:r>
      <w:r w:rsidR="007F36F0" w:rsidRPr="00ED3AFB">
        <w:t xml:space="preserve">ervice users </w:t>
      </w:r>
    </w:p>
    <w:p w14:paraId="760EF083" w14:textId="77777777" w:rsidR="00062B0B" w:rsidRPr="00ED3AFB" w:rsidRDefault="00062B0B" w:rsidP="00473D71">
      <w:pPr>
        <w:pStyle w:val="Bullets"/>
      </w:pPr>
      <w:r w:rsidRPr="00ED3AFB">
        <w:t>C</w:t>
      </w:r>
      <w:r w:rsidR="007F36F0" w:rsidRPr="00ED3AFB">
        <w:t>arers</w:t>
      </w:r>
      <w:r w:rsidR="00473D71">
        <w:t xml:space="preserve"> </w:t>
      </w:r>
    </w:p>
    <w:p w14:paraId="362DB732" w14:textId="77777777" w:rsidR="00062B0B" w:rsidRPr="00ED3AFB" w:rsidRDefault="00062B0B" w:rsidP="00473D71">
      <w:pPr>
        <w:pStyle w:val="Bullets"/>
      </w:pPr>
      <w:r w:rsidRPr="00ED3AFB">
        <w:t>M</w:t>
      </w:r>
      <w:r w:rsidR="007F36F0" w:rsidRPr="00ED3AFB">
        <w:t xml:space="preserve">embers of the public </w:t>
      </w:r>
    </w:p>
    <w:p w14:paraId="12D9B855" w14:textId="24432A92" w:rsidR="00062B0B" w:rsidRPr="00ED3AFB" w:rsidRDefault="00D83D3D" w:rsidP="00473D71">
      <w:pPr>
        <w:pStyle w:val="Bullets"/>
      </w:pPr>
      <w:r>
        <w:t>Representatives of s</w:t>
      </w:r>
      <w:r w:rsidR="007F36F0" w:rsidRPr="00ED3AFB">
        <w:t xml:space="preserve">pecific </w:t>
      </w:r>
      <w:r w:rsidR="0081687E" w:rsidRPr="00ED3AFB">
        <w:t>populations</w:t>
      </w:r>
      <w:r w:rsidR="00062B0B" w:rsidRPr="00ED3AFB">
        <w:t xml:space="preserve"> </w:t>
      </w:r>
    </w:p>
    <w:p w14:paraId="45814D13" w14:textId="77777777" w:rsidR="007F36F0" w:rsidRPr="00ED3AFB" w:rsidRDefault="00062B0B" w:rsidP="00473D71">
      <w:pPr>
        <w:pStyle w:val="Bullets"/>
      </w:pPr>
      <w:r w:rsidRPr="00ED3AFB">
        <w:t>People from patient, carer, voluntary and community sector organisations</w:t>
      </w:r>
    </w:p>
    <w:p w14:paraId="0C76B496" w14:textId="77777777" w:rsidR="007F36F0" w:rsidRDefault="007F36F0" w:rsidP="00473D71">
      <w:pPr>
        <w:pStyle w:val="Subbullets"/>
        <w:numPr>
          <w:ilvl w:val="0"/>
          <w:numId w:val="0"/>
        </w:numPr>
        <w:ind w:left="1134"/>
      </w:pPr>
    </w:p>
    <w:p w14:paraId="40FA9A6F" w14:textId="77777777" w:rsidR="000A45C6" w:rsidRDefault="000A45C6" w:rsidP="00794571">
      <w:pPr>
        <w:pStyle w:val="Paragraph"/>
      </w:pPr>
      <w:r>
        <w:t xml:space="preserve">Payment will be offered for any individual lay contribution that requires face to face </w:t>
      </w:r>
      <w:r w:rsidR="008F4134">
        <w:t xml:space="preserve">or virtual </w:t>
      </w:r>
      <w:r w:rsidR="008F4134" w:rsidRPr="008F4134">
        <w:t xml:space="preserve">(teleconference and videoconference) </w:t>
      </w:r>
      <w:r>
        <w:t xml:space="preserve">contact. </w:t>
      </w:r>
    </w:p>
    <w:p w14:paraId="69037A26" w14:textId="77777777" w:rsidR="000A45C6" w:rsidRDefault="000A45C6" w:rsidP="00794571">
      <w:pPr>
        <w:pStyle w:val="Paragraph"/>
      </w:pPr>
      <w:r>
        <w:t>Payment will be offered at the following rates:</w:t>
      </w:r>
    </w:p>
    <w:p w14:paraId="4571FE3D" w14:textId="77777777" w:rsidR="000A45C6" w:rsidRDefault="000A45C6" w:rsidP="00794571">
      <w:pPr>
        <w:pStyle w:val="Bullets"/>
      </w:pPr>
      <w:r>
        <w:t>£150 per full day meeting (four hours or longer);</w:t>
      </w:r>
    </w:p>
    <w:p w14:paraId="41333C5B" w14:textId="77777777" w:rsidR="000A45C6" w:rsidRDefault="000A45C6" w:rsidP="00794571">
      <w:pPr>
        <w:pStyle w:val="Bullets"/>
      </w:pPr>
      <w:r>
        <w:t>£75 per half day meeting (shorter than four hours).</w:t>
      </w:r>
    </w:p>
    <w:p w14:paraId="659F52DC" w14:textId="77777777" w:rsidR="000A45C6" w:rsidRDefault="000A45C6" w:rsidP="000A45C6">
      <w:pPr>
        <w:pStyle w:val="Paragraphnonumbers"/>
        <w:spacing w:after="0" w:line="240" w:lineRule="auto"/>
        <w:ind w:left="1364"/>
        <w:rPr>
          <w:sz w:val="22"/>
          <w:szCs w:val="32"/>
        </w:rPr>
      </w:pPr>
    </w:p>
    <w:p w14:paraId="2C3AC007" w14:textId="77777777" w:rsidR="00C224E8" w:rsidRPr="00794571" w:rsidRDefault="00C224E8" w:rsidP="000D25C2">
      <w:pPr>
        <w:pStyle w:val="Paragraph"/>
        <w:rPr>
          <w:sz w:val="22"/>
          <w:szCs w:val="32"/>
        </w:rPr>
      </w:pPr>
      <w:r>
        <w:t>The p</w:t>
      </w:r>
      <w:r w:rsidRPr="00C224E8">
        <w:t>ayments do not mean that NICE’s lay contributors have a contract of employment with NICE or its partner organisations</w:t>
      </w:r>
      <w:r w:rsidR="00062B0B">
        <w:t>.</w:t>
      </w:r>
      <w:r w:rsidRPr="00C224E8">
        <w:t xml:space="preserve"> </w:t>
      </w:r>
    </w:p>
    <w:p w14:paraId="64E59AEB" w14:textId="77777777" w:rsidR="006F113C" w:rsidRPr="00794571" w:rsidRDefault="00926D22" w:rsidP="000D25C2">
      <w:pPr>
        <w:pStyle w:val="Paragraph"/>
        <w:rPr>
          <w:sz w:val="22"/>
          <w:szCs w:val="32"/>
        </w:rPr>
      </w:pPr>
      <w:r w:rsidRPr="00926D22">
        <w:t xml:space="preserve">Payment is not offered where attendance or </w:t>
      </w:r>
      <w:r>
        <w:t>activity is considered optional (for exam</w:t>
      </w:r>
      <w:r w:rsidR="006F113C">
        <w:t xml:space="preserve">ple, </w:t>
      </w:r>
      <w:r w:rsidR="00C224E8">
        <w:t>o</w:t>
      </w:r>
      <w:r w:rsidR="00C224E8" w:rsidRPr="00C224E8">
        <w:t>ptional training sessions</w:t>
      </w:r>
      <w:r w:rsidR="00C224E8">
        <w:t xml:space="preserve"> (</w:t>
      </w:r>
      <w:r w:rsidR="00C224E8" w:rsidRPr="00C224E8">
        <w:t>such as</w:t>
      </w:r>
      <w:r w:rsidR="00C224E8">
        <w:t xml:space="preserve"> health economics workshops</w:t>
      </w:r>
      <w:r w:rsidR="000A5DA0">
        <w:t>), reviewing</w:t>
      </w:r>
      <w:r w:rsidR="000A5DA0" w:rsidRPr="000A5DA0">
        <w:t xml:space="preserve"> or contributing to </w:t>
      </w:r>
      <w:r w:rsidR="000A5DA0">
        <w:t xml:space="preserve">implementation or communications </w:t>
      </w:r>
      <w:r w:rsidR="000A5DA0" w:rsidRPr="000A5DA0">
        <w:t xml:space="preserve">products during the course of committee </w:t>
      </w:r>
      <w:r w:rsidR="000A5DA0">
        <w:t xml:space="preserve">or group </w:t>
      </w:r>
      <w:r w:rsidR="000A5DA0" w:rsidRPr="000A5DA0">
        <w:t>work</w:t>
      </w:r>
      <w:r w:rsidRPr="00926D22">
        <w:t xml:space="preserve">, or where it can reasonably be considered to be part of fulfilling someone’s </w:t>
      </w:r>
      <w:r w:rsidR="00E634AA">
        <w:t xml:space="preserve">routine </w:t>
      </w:r>
      <w:r w:rsidRPr="00926D22">
        <w:t>duties on a</w:t>
      </w:r>
      <w:r w:rsidR="00FE0725">
        <w:t xml:space="preserve"> committee or</w:t>
      </w:r>
      <w:r w:rsidRPr="00926D22">
        <w:t xml:space="preserve"> group</w:t>
      </w:r>
      <w:r w:rsidR="006F113C">
        <w:t xml:space="preserve"> (for example </w:t>
      </w:r>
      <w:r w:rsidR="006F113C" w:rsidRPr="006F113C">
        <w:t xml:space="preserve">short </w:t>
      </w:r>
      <w:r w:rsidR="008866A5" w:rsidRPr="008866A5">
        <w:t xml:space="preserve">virtual </w:t>
      </w:r>
      <w:r w:rsidR="006F113C" w:rsidRPr="006F113C">
        <w:t>pre-meeting</w:t>
      </w:r>
      <w:r w:rsidR="008866A5">
        <w:t xml:space="preserve"> communications</w:t>
      </w:r>
      <w:r w:rsidR="006F113C">
        <w:t>)</w:t>
      </w:r>
      <w:r w:rsidRPr="00926D22">
        <w:t xml:space="preserve">. </w:t>
      </w:r>
    </w:p>
    <w:p w14:paraId="5775030F" w14:textId="77777777" w:rsidR="004A1C61" w:rsidRPr="003C2ECF" w:rsidRDefault="00926D22" w:rsidP="000D25C2">
      <w:pPr>
        <w:pStyle w:val="Paragraph"/>
        <w:rPr>
          <w:sz w:val="22"/>
          <w:szCs w:val="32"/>
        </w:rPr>
      </w:pPr>
      <w:r w:rsidRPr="006F113C">
        <w:t xml:space="preserve">Payment is </w:t>
      </w:r>
      <w:r w:rsidR="00F13916">
        <w:t xml:space="preserve">also </w:t>
      </w:r>
      <w:r w:rsidRPr="006F113C">
        <w:t>not offered</w:t>
      </w:r>
      <w:r w:rsidR="004A1C61">
        <w:t>:</w:t>
      </w:r>
    </w:p>
    <w:p w14:paraId="3F03408C" w14:textId="77777777" w:rsidR="00237A15" w:rsidRDefault="00062B0B" w:rsidP="003C2ECF">
      <w:pPr>
        <w:pStyle w:val="Bullets"/>
      </w:pPr>
      <w:r>
        <w:t>W</w:t>
      </w:r>
      <w:r w:rsidR="00926D22" w:rsidRPr="00926D22">
        <w:t>here a lay contributor does not attend</w:t>
      </w:r>
      <w:r w:rsidR="00E634AA">
        <w:t xml:space="preserve"> </w:t>
      </w:r>
      <w:r>
        <w:t xml:space="preserve">a </w:t>
      </w:r>
      <w:r w:rsidR="00E634AA">
        <w:t>meeting</w:t>
      </w:r>
      <w:r w:rsidR="00926D22" w:rsidRPr="00926D22">
        <w:t xml:space="preserve"> or, depending on circumstances, where they attend only part of a scheduled meeting</w:t>
      </w:r>
      <w:r>
        <w:t>.</w:t>
      </w:r>
    </w:p>
    <w:p w14:paraId="7AD01C7D" w14:textId="77777777" w:rsidR="006F113C" w:rsidRPr="00794571" w:rsidRDefault="00062B0B" w:rsidP="003C2ECF">
      <w:pPr>
        <w:pStyle w:val="Bullets"/>
        <w:rPr>
          <w:sz w:val="22"/>
          <w:szCs w:val="32"/>
        </w:rPr>
      </w:pPr>
      <w:r>
        <w:t>F</w:t>
      </w:r>
      <w:r w:rsidR="00237A15">
        <w:t>or time spent undertaking preparatory reading for meetings</w:t>
      </w:r>
      <w:r>
        <w:t>.</w:t>
      </w:r>
    </w:p>
    <w:p w14:paraId="1CE1DB40" w14:textId="77777777" w:rsidR="00794571" w:rsidRDefault="00062B0B" w:rsidP="003C2ECF">
      <w:pPr>
        <w:pStyle w:val="Bullets"/>
      </w:pPr>
      <w:r>
        <w:t>T</w:t>
      </w:r>
      <w:r w:rsidR="006F113C">
        <w:t>o lay people who attend meetings held in public as observers, or who contribute to consultations, surveys and other equivalent activities</w:t>
      </w:r>
      <w:r>
        <w:t>.</w:t>
      </w:r>
    </w:p>
    <w:p w14:paraId="1FA4F933" w14:textId="3FC4D76A" w:rsidR="003564A3" w:rsidRDefault="00062B0B" w:rsidP="003C2ECF">
      <w:pPr>
        <w:pStyle w:val="Bullets"/>
      </w:pPr>
      <w:r>
        <w:t>T</w:t>
      </w:r>
      <w:r w:rsidR="006F113C">
        <w:t xml:space="preserve">o lay people attending meetings as representatives of an organisation (such as those attending scoping meetings or workshops), rather than </w:t>
      </w:r>
      <w:r w:rsidR="00D83D3D">
        <w:t>acting in an individual capacity</w:t>
      </w:r>
      <w:r w:rsidR="006F113C">
        <w:t>.</w:t>
      </w:r>
    </w:p>
    <w:p w14:paraId="16F8CFEE" w14:textId="77777777" w:rsidR="006F113C" w:rsidRPr="003564A3" w:rsidRDefault="003564A3" w:rsidP="003C2ECF">
      <w:pPr>
        <w:pStyle w:val="Bullets"/>
      </w:pPr>
      <w:r>
        <w:t>To c</w:t>
      </w:r>
      <w:r w:rsidRPr="003564A3">
        <w:t>arers attending meetings to support a committee membe</w:t>
      </w:r>
      <w:r>
        <w:t>r, expert or conference speaker.</w:t>
      </w:r>
    </w:p>
    <w:p w14:paraId="624D8BFD" w14:textId="77777777" w:rsidR="00D7293F" w:rsidRDefault="00D7293F" w:rsidP="00794571">
      <w:pPr>
        <w:pStyle w:val="Paragraph"/>
      </w:pPr>
      <w:r w:rsidRPr="007F36F0">
        <w:lastRenderedPageBreak/>
        <w:t xml:space="preserve">Any payments accepted for contributing to NICE’s work, are regarded, by </w:t>
      </w:r>
      <w:r w:rsidR="00B4062C">
        <w:t xml:space="preserve">HMRC </w:t>
      </w:r>
      <w:r w:rsidRPr="007F36F0">
        <w:t xml:space="preserve">as part of overall income. Each lay contributor is personally responsible for any liability </w:t>
      </w:r>
      <w:proofErr w:type="gramStart"/>
      <w:r w:rsidRPr="007F36F0">
        <w:t>with regard to</w:t>
      </w:r>
      <w:proofErr w:type="gramEnd"/>
      <w:r w:rsidRPr="007F36F0">
        <w:t xml:space="preserve"> Income Tax or National Insurance contributions. </w:t>
      </w:r>
      <w:r w:rsidR="00672A40">
        <w:t xml:space="preserve">All lay </w:t>
      </w:r>
      <w:r w:rsidR="008866A5">
        <w:t xml:space="preserve">contributor </w:t>
      </w:r>
      <w:r w:rsidR="00672A40">
        <w:t>payments will be made direct</w:t>
      </w:r>
      <w:r w:rsidR="00FC3EC3">
        <w:t>ly</w:t>
      </w:r>
      <w:r w:rsidR="00672A40">
        <w:t xml:space="preserve"> to the individual. </w:t>
      </w:r>
      <w:r>
        <w:t xml:space="preserve">A lay member </w:t>
      </w:r>
      <w:r w:rsidR="00672A40">
        <w:t xml:space="preserve">may decline to </w:t>
      </w:r>
      <w:r w:rsidR="008866A5">
        <w:t xml:space="preserve">claim </w:t>
      </w:r>
      <w:r w:rsidR="00672A40">
        <w:t xml:space="preserve">payment if they wish. </w:t>
      </w:r>
      <w:r w:rsidR="00B805ED">
        <w:t xml:space="preserve"> </w:t>
      </w:r>
    </w:p>
    <w:p w14:paraId="54006165" w14:textId="77777777" w:rsidR="00061CC6" w:rsidRDefault="00D7293F" w:rsidP="00794571">
      <w:pPr>
        <w:pStyle w:val="Paragraph"/>
      </w:pPr>
      <w:r>
        <w:t xml:space="preserve">Lay </w:t>
      </w:r>
      <w:r w:rsidR="001F37A5">
        <w:t>contributors</w:t>
      </w:r>
      <w:r>
        <w:t xml:space="preserve"> are asked to declare that they acknowledge their personal tax responsibilities and that they are not claiming the payment </w:t>
      </w:r>
      <w:r w:rsidR="00B805ED">
        <w:t>via an intermediary</w:t>
      </w:r>
      <w:r>
        <w:t xml:space="preserve"> </w:t>
      </w:r>
      <w:r w:rsidR="00BD0F2F">
        <w:t xml:space="preserve">(such as a personal service company) </w:t>
      </w:r>
      <w:r>
        <w:t>when the claim is made. If the individual declares that they are accepting the payment via an intermediary</w:t>
      </w:r>
      <w:r w:rsidR="00BD0F2F">
        <w:t>,</w:t>
      </w:r>
      <w:r>
        <w:t xml:space="preserve"> IR35 intermediaries tax legislation may apply and as such NICE may need to deduct tax and National Insurance at source.</w:t>
      </w:r>
      <w:r w:rsidDel="00D7293F">
        <w:t xml:space="preserve"> </w:t>
      </w:r>
    </w:p>
    <w:p w14:paraId="2DA53C87" w14:textId="77777777" w:rsidR="00685AEA" w:rsidRPr="00ED3AFB" w:rsidRDefault="0027766C" w:rsidP="00793857">
      <w:pPr>
        <w:pStyle w:val="Paragraph"/>
      </w:pPr>
      <w:r>
        <w:t xml:space="preserve">As </w:t>
      </w:r>
      <w:r w:rsidR="00486610">
        <w:t xml:space="preserve">these payments </w:t>
      </w:r>
      <w:r w:rsidRPr="0027766C">
        <w:t xml:space="preserve">are classified as income for state benefit calculations </w:t>
      </w:r>
      <w:r>
        <w:t xml:space="preserve">people </w:t>
      </w:r>
      <w:r w:rsidR="005277AB">
        <w:t>in receipt of state benefits</w:t>
      </w:r>
      <w:r w:rsidR="00486610">
        <w:t xml:space="preserve"> </w:t>
      </w:r>
      <w:r>
        <w:t xml:space="preserve">may choose not to claim them. </w:t>
      </w:r>
      <w:r w:rsidR="00D7293F">
        <w:t>Individuals</w:t>
      </w:r>
      <w:r>
        <w:t xml:space="preserve"> </w:t>
      </w:r>
      <w:r w:rsidR="004C1CBE">
        <w:t xml:space="preserve">in receipt of state benefits </w:t>
      </w:r>
      <w:r w:rsidR="00486610">
        <w:t>are advised to liaise with relevant agencies</w:t>
      </w:r>
      <w:r w:rsidR="00793857">
        <w:t>.</w:t>
      </w:r>
    </w:p>
    <w:p w14:paraId="370FE2E8" w14:textId="05896535" w:rsidR="0027766C" w:rsidRPr="000A45C6" w:rsidRDefault="0027766C" w:rsidP="00BD0F2F">
      <w:pPr>
        <w:pStyle w:val="Paragraph"/>
      </w:pPr>
      <w:r w:rsidRPr="0027766C">
        <w:t xml:space="preserve">Travel, subsistence, and other </w:t>
      </w:r>
      <w:r w:rsidR="00E634AA">
        <w:t xml:space="preserve">out of pocket </w:t>
      </w:r>
      <w:r w:rsidRPr="0027766C">
        <w:t>expenses will be covered</w:t>
      </w:r>
      <w:r w:rsidR="003C2ECF">
        <w:t xml:space="preserve">, in line with </w:t>
      </w:r>
      <w:r w:rsidR="003C2ECF" w:rsidRPr="00BD0F2F">
        <w:t>this</w:t>
      </w:r>
      <w:r w:rsidR="003C2ECF">
        <w:t xml:space="preserve"> policy,</w:t>
      </w:r>
      <w:r w:rsidRPr="0027766C">
        <w:t xml:space="preserve"> in addition to the payment. Payment of these expenses should not affect any state benefits the lay contributors receive. </w:t>
      </w:r>
      <w:proofErr w:type="gramStart"/>
      <w:r w:rsidRPr="0027766C">
        <w:t>However</w:t>
      </w:r>
      <w:proofErr w:type="gramEnd"/>
      <w:r w:rsidRPr="0027766C">
        <w:t xml:space="preserve"> because NICE offers a standardised subsistence payment of a maximum of £20 per day, these subsistence payments may be considered as earnings</w:t>
      </w:r>
      <w:r w:rsidR="00D7293F">
        <w:t xml:space="preserve"> when calculating benefits</w:t>
      </w:r>
      <w:r w:rsidRPr="0027766C">
        <w:t>. Lay contributors whose subsistence costs are lower than £20 can claim the exact amount spent on subsistence. This claim for the exact amount will not be considered as earnings.</w:t>
      </w:r>
    </w:p>
    <w:p w14:paraId="7780AC47" w14:textId="77777777" w:rsidR="00BD0F2F" w:rsidRDefault="00BD0F2F" w:rsidP="00BD0F2F">
      <w:pPr>
        <w:pStyle w:val="Paragraph"/>
      </w:pPr>
      <w:r w:rsidRPr="00657EA3">
        <w:t xml:space="preserve">All claims for </w:t>
      </w:r>
      <w:r>
        <w:t xml:space="preserve">reimbursed </w:t>
      </w:r>
      <w:r w:rsidRPr="00657EA3">
        <w:t>payments</w:t>
      </w:r>
      <w:r>
        <w:t xml:space="preserve"> and expenses</w:t>
      </w:r>
      <w:r w:rsidRPr="00657EA3">
        <w:t xml:space="preserve"> for lay contributors </w:t>
      </w:r>
      <w:r>
        <w:t xml:space="preserve">(as opposed to travel and accommodation booked by NICE) </w:t>
      </w:r>
      <w:r w:rsidRPr="00657EA3">
        <w:t xml:space="preserve">will be processed and approved by NICE’s Public Involvement Programme. </w:t>
      </w:r>
      <w:r>
        <w:t xml:space="preserve">Please </w:t>
      </w:r>
      <w:proofErr w:type="gramStart"/>
      <w:r>
        <w:t>note:</w:t>
      </w:r>
      <w:proofErr w:type="gramEnd"/>
      <w:r>
        <w:t xml:space="preserve"> lay contributor queries should be sent to </w:t>
      </w:r>
      <w:hyperlink r:id="rId10" w:history="1">
        <w:r w:rsidRPr="008E19A5">
          <w:rPr>
            <w:rStyle w:val="Hyperlink"/>
          </w:rPr>
          <w:t>piplayexpenses@nice.org.uk</w:t>
        </w:r>
      </w:hyperlink>
      <w:r>
        <w:t xml:space="preserve"> </w:t>
      </w:r>
    </w:p>
    <w:p w14:paraId="1E5E235F" w14:textId="77777777" w:rsidR="00907F7F" w:rsidRPr="002B22DC" w:rsidRDefault="00907F7F" w:rsidP="00ED3AFB">
      <w:pPr>
        <w:pStyle w:val="Heading2"/>
        <w:rPr>
          <w:color w:val="31849B" w:themeColor="accent5" w:themeShade="BF"/>
          <w:sz w:val="36"/>
          <w:szCs w:val="36"/>
        </w:rPr>
      </w:pPr>
      <w:bookmarkStart w:id="21" w:name="_Toc17796057"/>
      <w:r w:rsidRPr="002B22DC">
        <w:rPr>
          <w:color w:val="31849B" w:themeColor="accent5" w:themeShade="BF"/>
          <w:sz w:val="36"/>
          <w:szCs w:val="36"/>
        </w:rPr>
        <w:t>Locum</w:t>
      </w:r>
      <w:r w:rsidR="00D7293F" w:rsidRPr="002B22DC">
        <w:rPr>
          <w:color w:val="31849B" w:themeColor="accent5" w:themeShade="BF"/>
          <w:sz w:val="36"/>
          <w:szCs w:val="36"/>
        </w:rPr>
        <w:t xml:space="preserve"> backfill</w:t>
      </w:r>
      <w:r w:rsidRPr="002B22DC">
        <w:rPr>
          <w:color w:val="31849B" w:themeColor="accent5" w:themeShade="BF"/>
          <w:sz w:val="36"/>
          <w:szCs w:val="36"/>
        </w:rPr>
        <w:t xml:space="preserve"> </w:t>
      </w:r>
      <w:r w:rsidR="000A6BBC" w:rsidRPr="002B22DC">
        <w:rPr>
          <w:color w:val="31849B" w:themeColor="accent5" w:themeShade="BF"/>
          <w:sz w:val="36"/>
          <w:szCs w:val="36"/>
        </w:rPr>
        <w:t>reimbursements to NHS GP practices</w:t>
      </w:r>
      <w:bookmarkEnd w:id="21"/>
      <w:r w:rsidR="000A6BBC" w:rsidRPr="002B22DC">
        <w:rPr>
          <w:color w:val="31849B" w:themeColor="accent5" w:themeShade="BF"/>
          <w:sz w:val="36"/>
          <w:szCs w:val="36"/>
        </w:rPr>
        <w:t xml:space="preserve"> </w:t>
      </w:r>
    </w:p>
    <w:p w14:paraId="1C7FA57E" w14:textId="77777777" w:rsidR="00647B23" w:rsidRDefault="000A6BBC" w:rsidP="008C527D">
      <w:pPr>
        <w:pStyle w:val="Paragraph"/>
      </w:pPr>
      <w:r>
        <w:t xml:space="preserve">NICE will reimburse locum backfill for committee members, </w:t>
      </w:r>
      <w:r w:rsidR="009A1096">
        <w:t>c</w:t>
      </w:r>
      <w:r>
        <w:t xml:space="preserve">hairs and </w:t>
      </w:r>
      <w:r w:rsidR="009A1096">
        <w:t>v</w:t>
      </w:r>
      <w:r>
        <w:t xml:space="preserve">ice </w:t>
      </w:r>
      <w:r w:rsidR="009A1096">
        <w:t>c</w:t>
      </w:r>
      <w:r>
        <w:t>hairs that are</w:t>
      </w:r>
      <w:r w:rsidR="00BC3BAB">
        <w:t xml:space="preserve"> working in</w:t>
      </w:r>
      <w:r w:rsidR="00A5726C">
        <w:t xml:space="preserve"> NHS</w:t>
      </w:r>
      <w:r w:rsidR="00BC3BAB">
        <w:t xml:space="preserve"> </w:t>
      </w:r>
      <w:r w:rsidR="00A5726C">
        <w:t>general</w:t>
      </w:r>
      <w:r>
        <w:t xml:space="preserve"> </w:t>
      </w:r>
      <w:r w:rsidR="00BB06B6">
        <w:t>practice</w:t>
      </w:r>
      <w:r w:rsidR="008C527D" w:rsidRPr="008C527D">
        <w:t xml:space="preserve"> </w:t>
      </w:r>
      <w:r w:rsidR="00A5726C">
        <w:t>and a</w:t>
      </w:r>
      <w:r w:rsidR="008C527D" w:rsidRPr="008C527D">
        <w:t xml:space="preserve"> locum</w:t>
      </w:r>
      <w:r w:rsidR="00A5726C">
        <w:t xml:space="preserve"> is needed</w:t>
      </w:r>
      <w:r w:rsidR="008C527D" w:rsidRPr="008C527D">
        <w:t xml:space="preserve"> to allow their attendance on NICE business.</w:t>
      </w:r>
      <w:r w:rsidR="0028782D">
        <w:t xml:space="preserve"> </w:t>
      </w:r>
      <w:r w:rsidR="008C527D">
        <w:t>T</w:t>
      </w:r>
      <w:r w:rsidR="0028782D">
        <w:t>he</w:t>
      </w:r>
      <w:r w:rsidR="003413AD">
        <w:t xml:space="preserve"> cost of the locum</w:t>
      </w:r>
      <w:r w:rsidR="0028782D">
        <w:t xml:space="preserve"> cover</w:t>
      </w:r>
      <w:r w:rsidR="003413AD">
        <w:t xml:space="preserve"> will be reimbursed </w:t>
      </w:r>
      <w:r w:rsidR="0028782D">
        <w:t>up to a maximum of £600 per day or £</w:t>
      </w:r>
      <w:r w:rsidR="008C527D">
        <w:t xml:space="preserve">300 </w:t>
      </w:r>
      <w:r w:rsidR="003413AD">
        <w:t xml:space="preserve">for half a day. </w:t>
      </w:r>
    </w:p>
    <w:p w14:paraId="67FC8C2B" w14:textId="77777777" w:rsidR="00F15EFE" w:rsidRDefault="0028782D" w:rsidP="00794571">
      <w:pPr>
        <w:pStyle w:val="Paragraph"/>
      </w:pPr>
      <w:r>
        <w:t>Locum</w:t>
      </w:r>
      <w:r w:rsidR="008C527D">
        <w:t xml:space="preserve"> reimbursement</w:t>
      </w:r>
      <w:r>
        <w:t xml:space="preserve"> claim</w:t>
      </w:r>
      <w:r w:rsidR="008C527D">
        <w:t>s must</w:t>
      </w:r>
      <w:r w:rsidR="00793857">
        <w:t xml:space="preserve"> </w:t>
      </w:r>
      <w:r w:rsidR="00765B2C">
        <w:t xml:space="preserve">be </w:t>
      </w:r>
      <w:r w:rsidR="00692F56">
        <w:t xml:space="preserve">submitted </w:t>
      </w:r>
      <w:r w:rsidR="00793857">
        <w:t>by the practice</w:t>
      </w:r>
      <w:r w:rsidR="008C527D">
        <w:t xml:space="preserve"> via an invoice to NICE</w:t>
      </w:r>
      <w:r w:rsidR="00692F56">
        <w:t>. The invoice</w:t>
      </w:r>
      <w:r w:rsidR="008C527D">
        <w:t xml:space="preserve"> </w:t>
      </w:r>
      <w:r w:rsidR="003413AD">
        <w:t xml:space="preserve">from the practice </w:t>
      </w:r>
      <w:r w:rsidR="00692F56">
        <w:t xml:space="preserve">must </w:t>
      </w:r>
      <w:r w:rsidR="003413AD">
        <w:t>give details of the hours of locum cover</w:t>
      </w:r>
      <w:r w:rsidR="006C69D8">
        <w:t>,</w:t>
      </w:r>
      <w:r w:rsidR="003413AD">
        <w:t xml:space="preserve"> the name of the person</w:t>
      </w:r>
      <w:r w:rsidR="00BB06B6">
        <w:t>, organisation or agency</w:t>
      </w:r>
      <w:r w:rsidR="003413AD">
        <w:t xml:space="preserve"> providing the cover and the rate being claimed.</w:t>
      </w:r>
      <w:r w:rsidR="00647B23">
        <w:t xml:space="preserve"> In the case of salaried staff evidence of their annual salary would also be required (to determine daily rate). Any external agency locum costs need to be supported by a copy of the agency’s invoice. All reimbursement for internal or external locums will be to the claimant</w:t>
      </w:r>
      <w:r w:rsidR="00FA562E">
        <w:t>’</w:t>
      </w:r>
      <w:r w:rsidR="00647B23">
        <w:t xml:space="preserve">s practice. </w:t>
      </w:r>
    </w:p>
    <w:p w14:paraId="5E9A2CB4" w14:textId="77777777" w:rsidR="0028782D" w:rsidRDefault="008C527D" w:rsidP="00794571">
      <w:pPr>
        <w:pStyle w:val="Paragraph"/>
      </w:pPr>
      <w:r>
        <w:lastRenderedPageBreak/>
        <w:t>Locum reimbursements will only be paid via the invoice/ purchase order route</w:t>
      </w:r>
      <w:r w:rsidR="00F54620">
        <w:t xml:space="preserve"> on a weekly BACS run, with the aim to make payment within 3 weeks of receipt of the invoice</w:t>
      </w:r>
      <w:r w:rsidR="00793857">
        <w:t xml:space="preserve"> at NICE’s accounts payable provider</w:t>
      </w:r>
      <w:r w:rsidR="00F54620">
        <w:t xml:space="preserve">. </w:t>
      </w:r>
      <w:r w:rsidR="0028782D" w:rsidRPr="0028782D">
        <w:t>Practice invoices</w:t>
      </w:r>
      <w:r>
        <w:t xml:space="preserve"> quoting the purchase order number provided by teams</w:t>
      </w:r>
      <w:r w:rsidR="0028782D" w:rsidRPr="0028782D">
        <w:t xml:space="preserve"> together with a copy of the Agency locum invoice if applicable, should be sent to:  NICE T53 Payables 4545, Phoenix House, Topcliffe Lane, Wakefield, WF3 1WE.</w:t>
      </w:r>
    </w:p>
    <w:p w14:paraId="524A9ADE" w14:textId="18E909FB" w:rsidR="00F15EFE" w:rsidRPr="002B22DC" w:rsidRDefault="00F15EFE" w:rsidP="00ED3AFB">
      <w:pPr>
        <w:pStyle w:val="Heading2"/>
        <w:rPr>
          <w:color w:val="31849B" w:themeColor="accent5" w:themeShade="BF"/>
          <w:sz w:val="36"/>
          <w:szCs w:val="36"/>
        </w:rPr>
      </w:pPr>
      <w:bookmarkStart w:id="22" w:name="_Toc17796058"/>
      <w:r w:rsidRPr="002B22DC">
        <w:rPr>
          <w:color w:val="31849B" w:themeColor="accent5" w:themeShade="BF"/>
          <w:sz w:val="36"/>
          <w:szCs w:val="36"/>
        </w:rPr>
        <w:t>Self-employed NHS locums attending NICE’s committees</w:t>
      </w:r>
      <w:bookmarkEnd w:id="22"/>
    </w:p>
    <w:p w14:paraId="13241F1A" w14:textId="77777777" w:rsidR="004A6D22" w:rsidRDefault="004A6D22" w:rsidP="00794571">
      <w:pPr>
        <w:pStyle w:val="Paragraph"/>
      </w:pPr>
      <w:r>
        <w:t xml:space="preserve">Self-employed </w:t>
      </w:r>
      <w:r w:rsidR="008F67B3">
        <w:t>GP</w:t>
      </w:r>
      <w:r w:rsidR="00136DFC">
        <w:t xml:space="preserve"> </w:t>
      </w:r>
      <w:r>
        <w:t>locums</w:t>
      </w:r>
      <w:r w:rsidR="00136DFC">
        <w:t xml:space="preserve"> working in the NHS</w:t>
      </w:r>
      <w:r>
        <w:t xml:space="preserve"> will be </w:t>
      </w:r>
      <w:r w:rsidR="00FA562E">
        <w:t xml:space="preserve">personally </w:t>
      </w:r>
      <w:r>
        <w:t>reimbursed £</w:t>
      </w:r>
      <w:r w:rsidR="008F67B3">
        <w:t xml:space="preserve">400 </w:t>
      </w:r>
      <w:r>
        <w:t>per day or £</w:t>
      </w:r>
      <w:r w:rsidR="008F67B3">
        <w:t>200</w:t>
      </w:r>
      <w:r>
        <w:t xml:space="preserve"> for half a day</w:t>
      </w:r>
      <w:r w:rsidR="001E1954">
        <w:t xml:space="preserve"> upon receipt of a</w:t>
      </w:r>
      <w:r>
        <w:t xml:space="preserve"> completed claim form</w:t>
      </w:r>
      <w:r w:rsidR="001E1954">
        <w:t>. These payments will</w:t>
      </w:r>
      <w:r>
        <w:t xml:space="preserve"> be </w:t>
      </w:r>
      <w:r w:rsidR="001E1954">
        <w:t xml:space="preserve">made </w:t>
      </w:r>
      <w:r>
        <w:t>through NICE’s payroll system</w:t>
      </w:r>
      <w:r w:rsidR="001E1954">
        <w:t xml:space="preserve"> and</w:t>
      </w:r>
      <w:r>
        <w:t xml:space="preserve"> will be subject to tax and National Insurance deductions in line with IR35 legislation.</w:t>
      </w:r>
    </w:p>
    <w:p w14:paraId="6BC9E3DC" w14:textId="1E158F6B" w:rsidR="00793857" w:rsidRDefault="00793857" w:rsidP="001E1954">
      <w:pPr>
        <w:pStyle w:val="Paragraph"/>
      </w:pPr>
      <w:r w:rsidRPr="00172FC5">
        <w:t xml:space="preserve">Self-employed </w:t>
      </w:r>
      <w:r w:rsidR="009F5D66">
        <w:t xml:space="preserve">GP </w:t>
      </w:r>
      <w:r>
        <w:t>l</w:t>
      </w:r>
      <w:r w:rsidRPr="00172FC5">
        <w:t>ocums need to submit a</w:t>
      </w:r>
      <w:r>
        <w:t>n honorarium</w:t>
      </w:r>
      <w:r w:rsidRPr="00172FC5">
        <w:t xml:space="preserve"> paper claim form which is available from the </w:t>
      </w:r>
      <w:r>
        <w:t>team c</w:t>
      </w:r>
      <w:r w:rsidRPr="00172FC5">
        <w:t xml:space="preserve">oordinator of the </w:t>
      </w:r>
      <w:r w:rsidR="00BB06B6" w:rsidRPr="00172FC5">
        <w:t xml:space="preserve">meeting. </w:t>
      </w:r>
      <w:r w:rsidRPr="00172FC5">
        <w:t xml:space="preserve">As these will be processed through </w:t>
      </w:r>
      <w:r>
        <w:t>p</w:t>
      </w:r>
      <w:r w:rsidRPr="00172FC5">
        <w:t>ayroll</w:t>
      </w:r>
      <w:r>
        <w:t>,</w:t>
      </w:r>
      <w:r w:rsidRPr="00172FC5">
        <w:t xml:space="preserve"> additional personal information needs to be collected to set the claimant up </w:t>
      </w:r>
      <w:r>
        <w:t>on the system and to fulfil reporting requirements to the HMRC.  When issuing an honorarium claim form for the first time, the coordinator of the meeting will therefore also ask that the claimant completes a payroll information form.  All honorarium claim forms will need to be verified and approved by the relevant budget holder within the team and forwarded to the payroll team for processing.  Payments will be usually be issued in the month with pay day being on or around the 25th of the month.</w:t>
      </w:r>
      <w:r w:rsidRPr="00172FC5">
        <w:t xml:space="preserve">  </w:t>
      </w:r>
    </w:p>
    <w:p w14:paraId="3B3770B3" w14:textId="4817ECFA" w:rsidR="00BB06B6" w:rsidRDefault="00172FC5" w:rsidP="005C68E5">
      <w:pPr>
        <w:pStyle w:val="Paragraph"/>
      </w:pPr>
      <w:r>
        <w:t>The above is applicable to self-employed GP</w:t>
      </w:r>
      <w:r w:rsidR="001E1954">
        <w:t>s</w:t>
      </w:r>
      <w:r>
        <w:t xml:space="preserve"> working in the NHS only. </w:t>
      </w:r>
      <w:r w:rsidR="00D83D3D">
        <w:t xml:space="preserve">Consideration may be given to the reimbursement of NHS </w:t>
      </w:r>
      <w:proofErr w:type="gramStart"/>
      <w:r w:rsidR="00D83D3D">
        <w:t>h</w:t>
      </w:r>
      <w:r w:rsidR="004A6D22">
        <w:t>ospital based</w:t>
      </w:r>
      <w:proofErr w:type="gramEnd"/>
      <w:r w:rsidR="004A6D22">
        <w:t xml:space="preserve"> locums </w:t>
      </w:r>
      <w:r w:rsidR="00D83D3D">
        <w:t>on a case by case basis. Approval should be sought from the Director of Business Planning and Resources. L</w:t>
      </w:r>
      <w:r w:rsidR="004A6D22">
        <w:t xml:space="preserve">ocums from </w:t>
      </w:r>
      <w:r w:rsidR="001E1954">
        <w:t>private</w:t>
      </w:r>
      <w:r w:rsidR="004A6D22">
        <w:t xml:space="preserve"> practices </w:t>
      </w:r>
      <w:r w:rsidR="001E1954">
        <w:t>or other</w:t>
      </w:r>
      <w:r w:rsidR="004A6D22">
        <w:t xml:space="preserve"> commercial organisations </w:t>
      </w:r>
      <w:r>
        <w:t>will</w:t>
      </w:r>
      <w:r w:rsidR="004A6D22">
        <w:t xml:space="preserve"> not </w:t>
      </w:r>
      <w:r w:rsidR="001F4F0C">
        <w:t xml:space="preserve">be </w:t>
      </w:r>
      <w:r w:rsidR="004A6D22">
        <w:t>entitled to claim for</w:t>
      </w:r>
      <w:r>
        <w:t xml:space="preserve"> any</w:t>
      </w:r>
      <w:r w:rsidR="004A6D22">
        <w:t xml:space="preserve"> locum costs.</w:t>
      </w:r>
      <w:r w:rsidR="005C68E5">
        <w:t xml:space="preserve"> </w:t>
      </w:r>
    </w:p>
    <w:p w14:paraId="58EB4D94" w14:textId="77777777" w:rsidR="00F54620" w:rsidRDefault="00F54620" w:rsidP="00F54620">
      <w:pPr>
        <w:pStyle w:val="Paragraph"/>
      </w:pPr>
      <w:r>
        <w:t xml:space="preserve">Locum and any lay contributor attendance fee claims processed through the payroll system will be paid at the end of the month following the month of approval. </w:t>
      </w:r>
    </w:p>
    <w:p w14:paraId="560C1CB4" w14:textId="77777777" w:rsidR="00F54620" w:rsidRPr="002B22DC" w:rsidRDefault="00062CFA" w:rsidP="002B22DC">
      <w:pPr>
        <w:pStyle w:val="Heading2"/>
        <w:rPr>
          <w:color w:val="31849B" w:themeColor="accent5" w:themeShade="BF"/>
          <w:sz w:val="36"/>
          <w:szCs w:val="36"/>
        </w:rPr>
      </w:pPr>
      <w:bookmarkStart w:id="23" w:name="_Toc17796059"/>
      <w:r w:rsidRPr="002B22DC">
        <w:rPr>
          <w:color w:val="31849B" w:themeColor="accent5" w:themeShade="BF"/>
          <w:sz w:val="36"/>
          <w:szCs w:val="36"/>
        </w:rPr>
        <w:t>Chair and vice chair reimbursement and remuneration</w:t>
      </w:r>
      <w:bookmarkEnd w:id="23"/>
    </w:p>
    <w:p w14:paraId="29B5FB7C" w14:textId="77777777" w:rsidR="00062CFA" w:rsidRDefault="00062CFA" w:rsidP="009E7958">
      <w:pPr>
        <w:pStyle w:val="Paragraph"/>
      </w:pPr>
      <w:r w:rsidRPr="00ED3AFB">
        <w:t>C</w:t>
      </w:r>
      <w:r w:rsidR="00D8628B">
        <w:t>ommittee chair</w:t>
      </w:r>
      <w:r>
        <w:t xml:space="preserve"> and vice chairs</w:t>
      </w:r>
      <w:r w:rsidR="00D8628B">
        <w:t>’</w:t>
      </w:r>
      <w:r w:rsidRPr="00ED3AFB">
        <w:t xml:space="preserve"> employing organisations are </w:t>
      </w:r>
      <w:r>
        <w:t xml:space="preserve">normally </w:t>
      </w:r>
      <w:r w:rsidRPr="00ED3AFB">
        <w:t>reimbursed for the time chairs work</w:t>
      </w:r>
      <w:r>
        <w:t xml:space="preserve"> </w:t>
      </w:r>
      <w:r w:rsidRPr="00ED3AFB">
        <w:t>for NICE</w:t>
      </w:r>
      <w:r>
        <w:t xml:space="preserve"> on a secondment arrangement. </w:t>
      </w:r>
    </w:p>
    <w:p w14:paraId="457D9292" w14:textId="77777777" w:rsidR="00062CFA" w:rsidRDefault="00062CFA" w:rsidP="009E7958">
      <w:pPr>
        <w:pStyle w:val="Paragraph"/>
      </w:pPr>
      <w:r>
        <w:t>Where it is not possible or appropriate to reimburse a chair or vice chair</w:t>
      </w:r>
      <w:r w:rsidR="00D41FFF">
        <w:t xml:space="preserve">’s </w:t>
      </w:r>
      <w:r>
        <w:t xml:space="preserve">employing organisation NICE will engage the chair or vice chair directly on </w:t>
      </w:r>
      <w:r>
        <w:lastRenderedPageBreak/>
        <w:t xml:space="preserve">payroll and </w:t>
      </w:r>
      <w:r w:rsidR="00D41FFF">
        <w:t>PAYE will be collected.</w:t>
      </w:r>
      <w:r w:rsidR="00D8628B">
        <w:t xml:space="preserve"> NICE engages chairs as office holders</w:t>
      </w:r>
      <w:r w:rsidR="00D41FFF">
        <w:t xml:space="preserve"> and as such </w:t>
      </w:r>
      <w:r w:rsidR="00D8628B">
        <w:t xml:space="preserve">the </w:t>
      </w:r>
      <w:r w:rsidR="00D41FFF">
        <w:t>NHS pension</w:t>
      </w:r>
      <w:r w:rsidR="00D8628B">
        <w:t xml:space="preserve"> scheme and other benefits are</w:t>
      </w:r>
      <w:r w:rsidR="00D41FFF">
        <w:t xml:space="preserve"> not offered.</w:t>
      </w:r>
    </w:p>
    <w:p w14:paraId="7D6CD2A9" w14:textId="77777777" w:rsidR="00062CFA" w:rsidRPr="00062CFA" w:rsidRDefault="00D41FFF" w:rsidP="009E7958">
      <w:pPr>
        <w:pStyle w:val="Paragraph"/>
      </w:pPr>
      <w:r>
        <w:t>Th</w:t>
      </w:r>
      <w:r w:rsidR="00D8628B">
        <w:t>e</w:t>
      </w:r>
      <w:r>
        <w:t xml:space="preserve"> </w:t>
      </w:r>
      <w:proofErr w:type="gramStart"/>
      <w:r>
        <w:t>on payroll</w:t>
      </w:r>
      <w:proofErr w:type="gramEnd"/>
      <w:r>
        <w:t xml:space="preserve"> reimbursement rate</w:t>
      </w:r>
      <w:r w:rsidR="00516164">
        <w:t xml:space="preserve"> (honorarium)</w:t>
      </w:r>
      <w:r>
        <w:t xml:space="preserve"> for a chair or vice chair is </w:t>
      </w:r>
      <w:r w:rsidR="00B02EDF">
        <w:t xml:space="preserve">up to </w:t>
      </w:r>
      <w:r>
        <w:t xml:space="preserve">£500 per day. </w:t>
      </w:r>
    </w:p>
    <w:p w14:paraId="52DAA59D" w14:textId="77777777" w:rsidR="0024588F" w:rsidRPr="002B22DC" w:rsidRDefault="0024588F" w:rsidP="00FE0725">
      <w:pPr>
        <w:pStyle w:val="Heading1"/>
        <w:rPr>
          <w:i/>
          <w:color w:val="31849B" w:themeColor="accent5" w:themeShade="BF"/>
          <w:sz w:val="40"/>
          <w:szCs w:val="40"/>
        </w:rPr>
      </w:pPr>
      <w:bookmarkStart w:id="24" w:name="_Toc17796060"/>
      <w:r w:rsidRPr="002B22DC">
        <w:rPr>
          <w:i/>
          <w:color w:val="31849B" w:themeColor="accent5" w:themeShade="BF"/>
          <w:sz w:val="40"/>
          <w:szCs w:val="40"/>
        </w:rPr>
        <w:t>Section 4 -</w:t>
      </w:r>
      <w:r w:rsidR="00C8336E" w:rsidRPr="002B22DC">
        <w:rPr>
          <w:i/>
          <w:color w:val="31849B" w:themeColor="accent5" w:themeShade="BF"/>
          <w:sz w:val="40"/>
          <w:szCs w:val="40"/>
        </w:rPr>
        <w:t xml:space="preserve"> Using the expenses system</w:t>
      </w:r>
      <w:bookmarkEnd w:id="24"/>
    </w:p>
    <w:p w14:paraId="29105A91" w14:textId="77777777" w:rsidR="00775DAF" w:rsidRPr="00C84338" w:rsidRDefault="00775DAF" w:rsidP="00775DAF">
      <w:pPr>
        <w:pStyle w:val="Paragraph"/>
        <w:rPr>
          <w:rFonts w:cs="Arial"/>
          <w:color w:val="000000" w:themeColor="text1"/>
        </w:rPr>
      </w:pPr>
      <w:proofErr w:type="gramStart"/>
      <w:r w:rsidRPr="00CE6D7A">
        <w:t>With the exception of</w:t>
      </w:r>
      <w:proofErr w:type="gramEnd"/>
      <w:r w:rsidRPr="00CE6D7A">
        <w:t xml:space="preserve"> </w:t>
      </w:r>
      <w:r>
        <w:t>l</w:t>
      </w:r>
      <w:r w:rsidRPr="00CE6D7A">
        <w:t>ocum</w:t>
      </w:r>
      <w:r w:rsidR="00F54620">
        <w:t xml:space="preserve"> fees</w:t>
      </w:r>
      <w:r w:rsidR="00D8628B">
        <w:t>, chair and vice chair honorarium</w:t>
      </w:r>
      <w:r w:rsidR="00F54620">
        <w:t xml:space="preserve"> and lay </w:t>
      </w:r>
      <w:r w:rsidR="0065593C">
        <w:t>contributor</w:t>
      </w:r>
      <w:r w:rsidR="00F54620">
        <w:t xml:space="preserve"> payments made to intermediaries</w:t>
      </w:r>
      <w:r w:rsidRPr="00CE6D7A">
        <w:t>, all claims for reimbursement must be made us</w:t>
      </w:r>
      <w:r>
        <w:t xml:space="preserve">ing the online </w:t>
      </w:r>
      <w:r w:rsidRPr="00856017">
        <w:t>expenses</w:t>
      </w:r>
      <w:r>
        <w:t xml:space="preserve"> system </w:t>
      </w:r>
      <w:r w:rsidRPr="00CE6D7A">
        <w:t xml:space="preserve">(https://nice.sel-expenses.com). </w:t>
      </w:r>
      <w:r>
        <w:t xml:space="preserve"> </w:t>
      </w:r>
      <w:r w:rsidRPr="00CE6D7A">
        <w:t>All claims must be made within 3 months of the date the expenses were incurred, with scanned copies of all required receipts attached together with other documentation as required.</w:t>
      </w:r>
      <w:r>
        <w:t xml:space="preserve"> </w:t>
      </w:r>
    </w:p>
    <w:p w14:paraId="736F410B" w14:textId="77777777" w:rsidR="00775DAF" w:rsidRDefault="00775DAF" w:rsidP="00775DAF">
      <w:pPr>
        <w:pStyle w:val="Paragraph"/>
      </w:pPr>
      <w:r w:rsidRPr="00CE6D7A">
        <w:t xml:space="preserve">If </w:t>
      </w:r>
      <w:r>
        <w:t>an</w:t>
      </w:r>
      <w:r w:rsidRPr="00CE6D7A">
        <w:t xml:space="preserve"> individual is not able to use the online </w:t>
      </w:r>
      <w:r>
        <w:t xml:space="preserve">expenses </w:t>
      </w:r>
      <w:proofErr w:type="gramStart"/>
      <w:r w:rsidRPr="00CE6D7A">
        <w:t>system</w:t>
      </w:r>
      <w:proofErr w:type="gramEnd"/>
      <w:r w:rsidRPr="00CE6D7A">
        <w:t xml:space="preserve"> </w:t>
      </w:r>
      <w:r>
        <w:t xml:space="preserve">the team </w:t>
      </w:r>
      <w:r w:rsidRPr="00856017">
        <w:t>organising</w:t>
      </w:r>
      <w:r>
        <w:t xml:space="preserve"> the meeting can support them to submit their claim using the internal protocol. A</w:t>
      </w:r>
      <w:r w:rsidRPr="00CE6D7A">
        <w:t xml:space="preserve">ll claims and supporting documents must be submitted to the relevant </w:t>
      </w:r>
      <w:r w:rsidRPr="00EA0320">
        <w:t xml:space="preserve">team </w:t>
      </w:r>
      <w:r w:rsidRPr="00CE6D7A">
        <w:t xml:space="preserve">within 3 months of the </w:t>
      </w:r>
      <w:r>
        <w:t xml:space="preserve">date the expense was incurred. The </w:t>
      </w:r>
      <w:r w:rsidR="00C8336E">
        <w:t>information</w:t>
      </w:r>
      <w:r>
        <w:t xml:space="preserve">, provided by the individual, will be </w:t>
      </w:r>
      <w:r w:rsidRPr="00EA0320">
        <w:t xml:space="preserve">entered </w:t>
      </w:r>
      <w:r>
        <w:t xml:space="preserve">into the </w:t>
      </w:r>
      <w:r w:rsidRPr="00EA0320">
        <w:t>online expenses system</w:t>
      </w:r>
      <w:r>
        <w:t xml:space="preserve"> on their behalf</w:t>
      </w:r>
      <w:r w:rsidRPr="00EA0320">
        <w:t>.</w:t>
      </w:r>
      <w:r>
        <w:t xml:space="preserve"> </w:t>
      </w:r>
    </w:p>
    <w:p w14:paraId="0E1F3112" w14:textId="77777777" w:rsidR="00775DAF" w:rsidRDefault="00775DAF" w:rsidP="00775DAF">
      <w:pPr>
        <w:pStyle w:val="Paragraph"/>
      </w:pPr>
      <w:r>
        <w:t xml:space="preserve">False, exaggerated or </w:t>
      </w:r>
      <w:r w:rsidR="00C8336E">
        <w:t xml:space="preserve">intentionally submitted </w:t>
      </w:r>
      <w:r>
        <w:t xml:space="preserve">duplicate claims will be treated as fraud and </w:t>
      </w:r>
      <w:r w:rsidRPr="00856017">
        <w:t>appropriate</w:t>
      </w:r>
      <w:r>
        <w:t xml:space="preserve"> investiga</w:t>
      </w:r>
      <w:r w:rsidR="0065593C">
        <w:t>tive</w:t>
      </w:r>
      <w:r>
        <w:t xml:space="preserve"> action will be taken in line with NICE policies. Suspicions of fraudulent activi</w:t>
      </w:r>
      <w:r w:rsidR="001F4F0C">
        <w:t>ty will also be reported to the Counter Fraud Authority (NHSCFA) or the Department of Health and Social Care Anti-Fraud Unit (DHSC AFU)</w:t>
      </w:r>
      <w:r>
        <w:t xml:space="preserve">, and investigations will be undertaken which may result in civil or criminal sanctions being applied. </w:t>
      </w:r>
    </w:p>
    <w:p w14:paraId="5DAA2C92" w14:textId="77777777" w:rsidR="00775DAF" w:rsidRDefault="00775DAF" w:rsidP="00775DAF">
      <w:pPr>
        <w:pStyle w:val="Paragraph"/>
      </w:pPr>
      <w:r>
        <w:t xml:space="preserve">All limits, </w:t>
      </w:r>
      <w:r w:rsidRPr="00856017">
        <w:t>allowances</w:t>
      </w:r>
      <w:r>
        <w:t xml:space="preserve"> and monetary value</w:t>
      </w:r>
      <w:r w:rsidR="00D17CED">
        <w:t>s</w:t>
      </w:r>
      <w:r>
        <w:t xml:space="preserve"> are inclusive of VAT.</w:t>
      </w:r>
    </w:p>
    <w:p w14:paraId="2074FC6B" w14:textId="77777777" w:rsidR="00775DAF" w:rsidRDefault="00775DAF" w:rsidP="00775DAF">
      <w:pPr>
        <w:pStyle w:val="Paragraph"/>
      </w:pPr>
      <w:r>
        <w:t xml:space="preserve">NICE will reimburse claimed expenses </w:t>
      </w:r>
      <w:r w:rsidRPr="00657EA3">
        <w:t>to the individual</w:t>
      </w:r>
      <w:r>
        <w:t>’</w:t>
      </w:r>
      <w:r w:rsidRPr="00657EA3">
        <w:t xml:space="preserve">s specified bank account </w:t>
      </w:r>
      <w:r>
        <w:t>via a weekly BACS run. Individuals bank account details will need to be added and maintained by the individual on the online expenses system and selected when making a claim.</w:t>
      </w:r>
    </w:p>
    <w:p w14:paraId="4304693E" w14:textId="77777777" w:rsidR="00775DAF" w:rsidRDefault="00775DAF" w:rsidP="00775DAF">
      <w:pPr>
        <w:pStyle w:val="Paragraph"/>
      </w:pPr>
      <w:r>
        <w:t xml:space="preserve">NICE aims to approve claims and reimburse individuals within 3 weeks of their claim being submitted. Individuals should contact the individual </w:t>
      </w:r>
      <w:r w:rsidR="0082186F">
        <w:t xml:space="preserve">NICE </w:t>
      </w:r>
      <w:r>
        <w:t>teams if they have issues claiming expenses or if their claim has been delayed.</w:t>
      </w:r>
    </w:p>
    <w:p w14:paraId="0405A626" w14:textId="77777777" w:rsidR="00473601" w:rsidRPr="00473601" w:rsidRDefault="00F54620" w:rsidP="00473601">
      <w:pPr>
        <w:pStyle w:val="Paragraph"/>
        <w:rPr>
          <w:sz w:val="32"/>
        </w:rPr>
      </w:pPr>
      <w:r>
        <w:t>Lost receipts should be brought to the attention of the finance team before a claim is made. NICE reserves the right to decline the reimbursement of an expense without a receipt.</w:t>
      </w:r>
      <w:r w:rsidR="00473601">
        <w:rPr>
          <w:sz w:val="32"/>
        </w:rPr>
        <w:t xml:space="preserve"> </w:t>
      </w:r>
    </w:p>
    <w:p w14:paraId="67C3ACC2" w14:textId="5417B35C" w:rsidR="00473601" w:rsidRPr="00473601" w:rsidRDefault="00473601" w:rsidP="00473601">
      <w:pPr>
        <w:pStyle w:val="Paragraph"/>
      </w:pPr>
      <w:r w:rsidRPr="00473601">
        <w:rPr>
          <w:sz w:val="32"/>
        </w:rPr>
        <w:t xml:space="preserve"> </w:t>
      </w:r>
      <w:r w:rsidRPr="00473601">
        <w:t xml:space="preserve">All claims for expenses and receipts will be held for a period of not less than 7 years in order to comply with statutory regulations.  Please note that </w:t>
      </w:r>
      <w:r w:rsidRPr="00473601">
        <w:lastRenderedPageBreak/>
        <w:t xml:space="preserve">information provided will be used to create a record on our expenses/payroll database to enable payments to be processed and for subsequent reporting of statutory information to the relevant government agencies.  Please see the NICE privacy notice at </w:t>
      </w:r>
      <w:hyperlink r:id="rId11" w:history="1">
        <w:r w:rsidRPr="00507BB8">
          <w:rPr>
            <w:rStyle w:val="Hyperlink"/>
          </w:rPr>
          <w:t>www.nice.org.uk/privacy-notice</w:t>
        </w:r>
      </w:hyperlink>
      <w:r w:rsidRPr="00473601">
        <w:t xml:space="preserve"> for further information.   </w:t>
      </w:r>
    </w:p>
    <w:p w14:paraId="58C78E14" w14:textId="77777777" w:rsidR="00473601" w:rsidRPr="00473601" w:rsidRDefault="00473601" w:rsidP="00473601">
      <w:pPr>
        <w:pStyle w:val="Paragraph"/>
      </w:pPr>
      <w:r w:rsidRPr="00473601">
        <w:t xml:space="preserve"> Any deviations from policy must be agreed in advance by the Director of Business Planning and Resources or designated deputy.  NICE’s Standing Financial Instructions (SFIs) apply to all expenditure committed on behalf of NICE, including within this policy.  In accordance with NICE’s SFIs, NICE will seek to recover overpayments made in relation to this or other policies.</w:t>
      </w:r>
    </w:p>
    <w:p w14:paraId="75CF7D62" w14:textId="7B0DED26" w:rsidR="002B017F" w:rsidRPr="00473601" w:rsidRDefault="002B017F" w:rsidP="00473601">
      <w:pPr>
        <w:pStyle w:val="Paragraph"/>
        <w:numPr>
          <w:ilvl w:val="0"/>
          <w:numId w:val="0"/>
        </w:numPr>
        <w:ind w:left="624"/>
        <w:rPr>
          <w:sz w:val="32"/>
        </w:rPr>
      </w:pPr>
    </w:p>
    <w:p w14:paraId="340A0CD1" w14:textId="77777777" w:rsidR="002B017F" w:rsidRDefault="002B017F" w:rsidP="009E7958">
      <w:pPr>
        <w:pStyle w:val="Heading1"/>
        <w:rPr>
          <w:sz w:val="32"/>
        </w:rPr>
      </w:pPr>
    </w:p>
    <w:p w14:paraId="5C133181" w14:textId="77777777" w:rsidR="002B017F" w:rsidRDefault="002B017F" w:rsidP="009E7958">
      <w:pPr>
        <w:pStyle w:val="Heading1"/>
        <w:rPr>
          <w:sz w:val="32"/>
        </w:rPr>
      </w:pPr>
    </w:p>
    <w:p w14:paraId="2E69184D" w14:textId="77777777" w:rsidR="006D0E50" w:rsidRDefault="006D0E50" w:rsidP="009E7958">
      <w:pPr>
        <w:pStyle w:val="Heading1"/>
        <w:rPr>
          <w:color w:val="31849B" w:themeColor="accent5" w:themeShade="BF"/>
          <w:sz w:val="40"/>
          <w:szCs w:val="40"/>
        </w:rPr>
      </w:pPr>
    </w:p>
    <w:p w14:paraId="7F521F1D" w14:textId="77777777" w:rsidR="006D0E50" w:rsidRDefault="006D0E50" w:rsidP="009E7958">
      <w:pPr>
        <w:pStyle w:val="Heading1"/>
        <w:rPr>
          <w:color w:val="31849B" w:themeColor="accent5" w:themeShade="BF"/>
          <w:sz w:val="40"/>
          <w:szCs w:val="40"/>
        </w:rPr>
      </w:pPr>
    </w:p>
    <w:p w14:paraId="3B008922" w14:textId="77777777" w:rsidR="006D0E50" w:rsidRDefault="006D0E50" w:rsidP="009E7958">
      <w:pPr>
        <w:pStyle w:val="Heading1"/>
        <w:rPr>
          <w:color w:val="31849B" w:themeColor="accent5" w:themeShade="BF"/>
          <w:sz w:val="40"/>
          <w:szCs w:val="40"/>
        </w:rPr>
      </w:pPr>
    </w:p>
    <w:p w14:paraId="0B54B61F" w14:textId="77777777" w:rsidR="006D0E50" w:rsidRDefault="006D0E50" w:rsidP="009E7958">
      <w:pPr>
        <w:pStyle w:val="Heading1"/>
        <w:rPr>
          <w:color w:val="31849B" w:themeColor="accent5" w:themeShade="BF"/>
          <w:sz w:val="40"/>
          <w:szCs w:val="40"/>
        </w:rPr>
      </w:pPr>
    </w:p>
    <w:p w14:paraId="3DC5DE11" w14:textId="77777777" w:rsidR="006D0E50" w:rsidRDefault="006D0E50" w:rsidP="009E7958">
      <w:pPr>
        <w:pStyle w:val="Heading1"/>
        <w:rPr>
          <w:color w:val="31849B" w:themeColor="accent5" w:themeShade="BF"/>
          <w:sz w:val="40"/>
          <w:szCs w:val="40"/>
        </w:rPr>
      </w:pPr>
    </w:p>
    <w:p w14:paraId="6CD78BFB" w14:textId="77777777" w:rsidR="006D0E50" w:rsidRDefault="006D0E50" w:rsidP="009E7958">
      <w:pPr>
        <w:pStyle w:val="Heading1"/>
        <w:rPr>
          <w:color w:val="31849B" w:themeColor="accent5" w:themeShade="BF"/>
          <w:sz w:val="40"/>
          <w:szCs w:val="40"/>
        </w:rPr>
      </w:pPr>
    </w:p>
    <w:p w14:paraId="49632DD6" w14:textId="77777777" w:rsidR="006D0E50" w:rsidRDefault="006D0E50" w:rsidP="009E7958">
      <w:pPr>
        <w:pStyle w:val="Heading1"/>
        <w:rPr>
          <w:color w:val="31849B" w:themeColor="accent5" w:themeShade="BF"/>
          <w:sz w:val="40"/>
          <w:szCs w:val="40"/>
        </w:rPr>
      </w:pPr>
    </w:p>
    <w:p w14:paraId="0EAD4278" w14:textId="77777777" w:rsidR="006D0E50" w:rsidRDefault="006D0E50" w:rsidP="009E7958">
      <w:pPr>
        <w:pStyle w:val="Heading1"/>
        <w:rPr>
          <w:color w:val="31849B" w:themeColor="accent5" w:themeShade="BF"/>
          <w:sz w:val="40"/>
          <w:szCs w:val="40"/>
        </w:rPr>
      </w:pPr>
    </w:p>
    <w:p w14:paraId="3205DCCC" w14:textId="77777777" w:rsidR="006D0E50" w:rsidRDefault="006D0E50" w:rsidP="009E7958">
      <w:pPr>
        <w:pStyle w:val="Heading1"/>
        <w:rPr>
          <w:color w:val="31849B" w:themeColor="accent5" w:themeShade="BF"/>
          <w:sz w:val="40"/>
          <w:szCs w:val="40"/>
        </w:rPr>
      </w:pPr>
    </w:p>
    <w:p w14:paraId="3675C9B0" w14:textId="6DEF7555" w:rsidR="006D0E50" w:rsidRDefault="006D0E50" w:rsidP="009E7958">
      <w:pPr>
        <w:pStyle w:val="Heading1"/>
        <w:rPr>
          <w:color w:val="31849B" w:themeColor="accent5" w:themeShade="BF"/>
          <w:sz w:val="40"/>
          <w:szCs w:val="40"/>
        </w:rPr>
      </w:pPr>
    </w:p>
    <w:p w14:paraId="1675402F" w14:textId="77777777" w:rsidR="006D0E50" w:rsidRPr="006D0E50" w:rsidRDefault="006D0E50" w:rsidP="006D0E50">
      <w:pPr>
        <w:pStyle w:val="Paragraphnonumbers"/>
      </w:pPr>
    </w:p>
    <w:p w14:paraId="7300B65A" w14:textId="634057D1" w:rsidR="00907F7F" w:rsidRPr="002B22DC" w:rsidRDefault="00907F7F" w:rsidP="009E7958">
      <w:pPr>
        <w:pStyle w:val="Heading1"/>
        <w:rPr>
          <w:sz w:val="40"/>
          <w:szCs w:val="40"/>
        </w:rPr>
      </w:pPr>
      <w:bookmarkStart w:id="25" w:name="_Toc17796061"/>
      <w:r w:rsidRPr="002B22DC">
        <w:rPr>
          <w:color w:val="31849B" w:themeColor="accent5" w:themeShade="BF"/>
          <w:sz w:val="40"/>
          <w:szCs w:val="40"/>
        </w:rPr>
        <w:t xml:space="preserve">Appendix 1 – </w:t>
      </w:r>
      <w:r w:rsidR="00351085" w:rsidRPr="002B22DC">
        <w:rPr>
          <w:color w:val="31849B" w:themeColor="accent5" w:themeShade="BF"/>
          <w:sz w:val="40"/>
          <w:szCs w:val="40"/>
        </w:rPr>
        <w:t>Subsistence allowances</w:t>
      </w:r>
      <w:bookmarkEnd w:id="25"/>
    </w:p>
    <w:p w14:paraId="4C2DA89D" w14:textId="62207CDA" w:rsidR="00101CCE" w:rsidRPr="00F96B97" w:rsidRDefault="00885FED" w:rsidP="00351085">
      <w:pPr>
        <w:pStyle w:val="Default"/>
        <w:rPr>
          <w:color w:val="auto"/>
        </w:rPr>
      </w:pPr>
      <w:r w:rsidRPr="00F96B97">
        <w:rPr>
          <w:color w:val="auto"/>
        </w:rPr>
        <w:t>Subsistence allowances can be claimed when a person incurs additional costs on meal</w:t>
      </w:r>
      <w:r w:rsidR="00712CBB">
        <w:rPr>
          <w:color w:val="auto"/>
        </w:rPr>
        <w:t>s</w:t>
      </w:r>
      <w:r w:rsidR="001A7F5E">
        <w:rPr>
          <w:color w:val="auto"/>
        </w:rPr>
        <w:t xml:space="preserve"> (defined as a combination of food and drink) </w:t>
      </w:r>
      <w:r w:rsidRPr="00F96B97">
        <w:rPr>
          <w:color w:val="auto"/>
        </w:rPr>
        <w:t>as a result of being away from their usual home or place of work</w:t>
      </w:r>
      <w:r w:rsidR="00F96B97" w:rsidRPr="00F96B97">
        <w:rPr>
          <w:color w:val="auto"/>
        </w:rPr>
        <w:t xml:space="preserve"> (</w:t>
      </w:r>
      <w:r w:rsidR="00712CBB">
        <w:rPr>
          <w:color w:val="auto"/>
        </w:rPr>
        <w:t xml:space="preserve">referred to as </w:t>
      </w:r>
      <w:r w:rsidR="00F96B97" w:rsidRPr="00F96B97">
        <w:rPr>
          <w:color w:val="auto"/>
        </w:rPr>
        <w:t>base)</w:t>
      </w:r>
      <w:r w:rsidRPr="00F96B97">
        <w:rPr>
          <w:color w:val="auto"/>
        </w:rPr>
        <w:t xml:space="preserve">. </w:t>
      </w:r>
      <w:r w:rsidR="00101CCE" w:rsidRPr="00F96B97">
        <w:rPr>
          <w:color w:val="auto"/>
        </w:rPr>
        <w:t xml:space="preserve">Reimbursement rates are as per HMRC’s benchmark scale rates and therefore do not require receipts where </w:t>
      </w:r>
      <w:proofErr w:type="gramStart"/>
      <w:r w:rsidR="00101CCE" w:rsidRPr="00F96B97">
        <w:rPr>
          <w:color w:val="auto"/>
        </w:rPr>
        <w:t>all of</w:t>
      </w:r>
      <w:proofErr w:type="gramEnd"/>
      <w:r w:rsidR="00101CCE" w:rsidRPr="00F96B97">
        <w:rPr>
          <w:color w:val="auto"/>
        </w:rPr>
        <w:t xml:space="preserve"> the following qualifying conditions are met:</w:t>
      </w:r>
    </w:p>
    <w:p w14:paraId="046418FA" w14:textId="7D153524" w:rsidR="00101CCE" w:rsidRPr="00F96B97" w:rsidRDefault="00101CCE" w:rsidP="00101CCE">
      <w:pPr>
        <w:pStyle w:val="Default"/>
        <w:numPr>
          <w:ilvl w:val="0"/>
          <w:numId w:val="4"/>
        </w:numPr>
      </w:pPr>
      <w:r w:rsidRPr="00F96B97">
        <w:t>The travel must be in the performance of duties undertaken for NICE on a journey that is not substantially ordinary commuting.</w:t>
      </w:r>
    </w:p>
    <w:p w14:paraId="0F1ED869" w14:textId="7FEC98D4" w:rsidR="00101CCE" w:rsidRPr="00F96B97" w:rsidRDefault="00101CCE" w:rsidP="00101CCE">
      <w:pPr>
        <w:pStyle w:val="Default"/>
        <w:numPr>
          <w:ilvl w:val="0"/>
          <w:numId w:val="4"/>
        </w:numPr>
      </w:pPr>
      <w:r w:rsidRPr="00F96B97">
        <w:lastRenderedPageBreak/>
        <w:t xml:space="preserve">The person should be absent from his normal </w:t>
      </w:r>
      <w:r w:rsidR="00F96B97" w:rsidRPr="00F96B97">
        <w:t>base</w:t>
      </w:r>
      <w:r w:rsidRPr="00F96B97">
        <w:t xml:space="preserve"> for a continuous period in excess of five hours or ten hours.</w:t>
      </w:r>
    </w:p>
    <w:p w14:paraId="2D60E05B" w14:textId="7CE6BC95" w:rsidR="00101CCE" w:rsidRDefault="00101CCE" w:rsidP="00101CCE">
      <w:pPr>
        <w:pStyle w:val="Default"/>
        <w:numPr>
          <w:ilvl w:val="0"/>
          <w:numId w:val="4"/>
        </w:numPr>
      </w:pPr>
      <w:r w:rsidRPr="00F96B97">
        <w:t>The person should have incurred a cost on a meal (food and drink) after starting the journey.</w:t>
      </w:r>
    </w:p>
    <w:p w14:paraId="7948B60C" w14:textId="77777777" w:rsidR="002B017F" w:rsidRPr="00F96B97" w:rsidRDefault="002B017F" w:rsidP="002B017F">
      <w:pPr>
        <w:pStyle w:val="Default"/>
        <w:ind w:left="720"/>
      </w:pPr>
    </w:p>
    <w:p w14:paraId="3D0FFBF2" w14:textId="54AFA52A" w:rsidR="00012DDA" w:rsidRPr="00101CCE" w:rsidRDefault="00101CCE" w:rsidP="002B017F">
      <w:pPr>
        <w:pStyle w:val="NormalWeb"/>
        <w:shd w:val="clear" w:color="auto" w:fill="FFFFFF"/>
        <w:spacing w:before="0" w:beforeAutospacing="0" w:after="0" w:afterAutospacing="0"/>
        <w:rPr>
          <w:rFonts w:ascii="Arial" w:hAnsi="Arial" w:cs="Arial"/>
          <w:b/>
          <w:color w:val="0B0C0C"/>
        </w:rPr>
      </w:pPr>
      <w:r>
        <w:rPr>
          <w:rFonts w:ascii="Arial" w:hAnsi="Arial" w:cs="Arial"/>
          <w:b/>
          <w:color w:val="0B0C0C"/>
        </w:rPr>
        <w:t>Rates are set as follows</w:t>
      </w:r>
      <w:r w:rsidR="00012DDA">
        <w:rPr>
          <w:rFonts w:ascii="Arial" w:hAnsi="Arial" w:cs="Arial"/>
          <w:b/>
          <w:color w:val="0B0C0C"/>
        </w:rPr>
        <w:t>:</w:t>
      </w:r>
    </w:p>
    <w:tbl>
      <w:tblPr>
        <w:tblStyle w:val="GridTable4-Accent1"/>
        <w:tblW w:w="7508" w:type="dxa"/>
        <w:tblLook w:val="04A0" w:firstRow="1" w:lastRow="0" w:firstColumn="1" w:lastColumn="0" w:noHBand="0" w:noVBand="1"/>
      </w:tblPr>
      <w:tblGrid>
        <w:gridCol w:w="3823"/>
        <w:gridCol w:w="3685"/>
      </w:tblGrid>
      <w:tr w:rsidR="00012DDA" w:rsidRPr="00012DDA" w14:paraId="71C4B85B" w14:textId="77777777" w:rsidTr="00F36A83">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3823" w:type="dxa"/>
            <w:shd w:val="clear" w:color="auto" w:fill="1F497D" w:themeFill="text2"/>
            <w:hideMark/>
          </w:tcPr>
          <w:p w14:paraId="6A5DD81C" w14:textId="10756EA0" w:rsidR="001A7F5E" w:rsidRPr="00012DDA" w:rsidRDefault="001A7F5E" w:rsidP="00712CBB">
            <w:pPr>
              <w:rPr>
                <w:rFonts w:ascii="Arial" w:hAnsi="Arial" w:cs="Arial"/>
              </w:rPr>
            </w:pPr>
            <w:r w:rsidRPr="00012DDA">
              <w:rPr>
                <w:rFonts w:ascii="Arial" w:hAnsi="Arial" w:cs="Arial"/>
                <w:bCs w:val="0"/>
              </w:rPr>
              <w:t xml:space="preserve">Minimum </w:t>
            </w:r>
            <w:r w:rsidR="00712CBB" w:rsidRPr="00012DDA">
              <w:rPr>
                <w:rFonts w:ascii="Arial" w:hAnsi="Arial" w:cs="Arial"/>
                <w:bCs w:val="0"/>
              </w:rPr>
              <w:t xml:space="preserve">consecutive </w:t>
            </w:r>
            <w:r w:rsidRPr="00012DDA">
              <w:rPr>
                <w:rFonts w:ascii="Arial" w:hAnsi="Arial" w:cs="Arial"/>
                <w:bCs w:val="0"/>
              </w:rPr>
              <w:t>time</w:t>
            </w:r>
            <w:r w:rsidR="00712CBB" w:rsidRPr="00012DDA">
              <w:rPr>
                <w:rFonts w:ascii="Arial" w:hAnsi="Arial" w:cs="Arial"/>
                <w:bCs w:val="0"/>
              </w:rPr>
              <w:t xml:space="preserve"> away from base</w:t>
            </w:r>
            <w:r w:rsidRPr="00012DDA">
              <w:rPr>
                <w:rFonts w:ascii="Arial" w:hAnsi="Arial" w:cs="Arial"/>
                <w:bCs w:val="0"/>
              </w:rPr>
              <w:t xml:space="preserve"> without provision of a meal</w:t>
            </w:r>
          </w:p>
        </w:tc>
        <w:tc>
          <w:tcPr>
            <w:tcW w:w="3685" w:type="dxa"/>
            <w:shd w:val="clear" w:color="auto" w:fill="1F497D" w:themeFill="text2"/>
            <w:hideMark/>
          </w:tcPr>
          <w:p w14:paraId="2D38A954" w14:textId="5A6DA26A" w:rsidR="001A7F5E" w:rsidRPr="00012DDA" w:rsidRDefault="001A7F5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012DDA">
              <w:rPr>
                <w:rFonts w:ascii="Arial" w:hAnsi="Arial" w:cs="Arial"/>
                <w:bCs w:val="0"/>
              </w:rPr>
              <w:t>Maximum amount of meal allowance</w:t>
            </w:r>
            <w:r w:rsidR="009C6B94">
              <w:rPr>
                <w:rFonts w:ascii="Arial" w:hAnsi="Arial" w:cs="Arial"/>
                <w:bCs w:val="0"/>
              </w:rPr>
              <w:t>, if a cost was incurred</w:t>
            </w:r>
          </w:p>
        </w:tc>
      </w:tr>
      <w:tr w:rsidR="001A7F5E" w:rsidRPr="00012DDA" w14:paraId="775B1FC6"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hideMark/>
          </w:tcPr>
          <w:p w14:paraId="22E167C8" w14:textId="753584AC" w:rsidR="001A7F5E" w:rsidRPr="00012DDA" w:rsidRDefault="001A7F5E">
            <w:pPr>
              <w:rPr>
                <w:rFonts w:ascii="Arial" w:hAnsi="Arial" w:cs="Arial"/>
                <w:b w:val="0"/>
                <w:bCs w:val="0"/>
                <w:color w:val="0B0C0C"/>
              </w:rPr>
            </w:pPr>
            <w:r w:rsidRPr="00012DDA">
              <w:rPr>
                <w:rFonts w:ascii="Arial" w:hAnsi="Arial" w:cs="Arial"/>
                <w:b w:val="0"/>
                <w:color w:val="0B0C0C"/>
              </w:rPr>
              <w:t xml:space="preserve">5 hours </w:t>
            </w:r>
          </w:p>
        </w:tc>
        <w:tc>
          <w:tcPr>
            <w:tcW w:w="3685" w:type="dxa"/>
            <w:hideMark/>
          </w:tcPr>
          <w:p w14:paraId="3C572CB6" w14:textId="41CB5CDC" w:rsidR="001A7F5E" w:rsidRPr="00012DDA" w:rsidRDefault="001A7F5E">
            <w:pPr>
              <w:cnfStyle w:val="000000100000" w:firstRow="0" w:lastRow="0" w:firstColumn="0" w:lastColumn="0" w:oddVBand="0" w:evenVBand="0" w:oddHBand="1" w:evenHBand="0" w:firstRowFirstColumn="0" w:firstRowLastColumn="0" w:lastRowFirstColumn="0" w:lastRowLastColumn="0"/>
              <w:rPr>
                <w:rFonts w:ascii="Arial" w:hAnsi="Arial" w:cs="Arial"/>
                <w:color w:val="0B0C0C"/>
              </w:rPr>
            </w:pPr>
            <w:r w:rsidRPr="00012DDA">
              <w:rPr>
                <w:rFonts w:ascii="Arial" w:hAnsi="Arial" w:cs="Arial"/>
                <w:color w:val="0B0C0C"/>
              </w:rPr>
              <w:t>£5</w:t>
            </w:r>
          </w:p>
        </w:tc>
      </w:tr>
      <w:tr w:rsidR="001A7F5E" w:rsidRPr="00012DDA" w14:paraId="07F209AD" w14:textId="77777777" w:rsidTr="00891DFC">
        <w:tc>
          <w:tcPr>
            <w:cnfStyle w:val="001000000000" w:firstRow="0" w:lastRow="0" w:firstColumn="1" w:lastColumn="0" w:oddVBand="0" w:evenVBand="0" w:oddHBand="0" w:evenHBand="0" w:firstRowFirstColumn="0" w:firstRowLastColumn="0" w:lastRowFirstColumn="0" w:lastRowLastColumn="0"/>
            <w:tcW w:w="3823" w:type="dxa"/>
            <w:hideMark/>
          </w:tcPr>
          <w:p w14:paraId="7DDEF114" w14:textId="77777777" w:rsidR="001A7F5E" w:rsidRPr="00012DDA" w:rsidRDefault="001A7F5E">
            <w:pPr>
              <w:rPr>
                <w:rFonts w:ascii="Arial" w:hAnsi="Arial" w:cs="Arial"/>
                <w:b w:val="0"/>
                <w:color w:val="0B0C0C"/>
              </w:rPr>
            </w:pPr>
            <w:r w:rsidRPr="00012DDA">
              <w:rPr>
                <w:rFonts w:ascii="Arial" w:hAnsi="Arial" w:cs="Arial"/>
                <w:b w:val="0"/>
                <w:color w:val="0B0C0C"/>
              </w:rPr>
              <w:t>10 hours</w:t>
            </w:r>
          </w:p>
        </w:tc>
        <w:tc>
          <w:tcPr>
            <w:tcW w:w="3685" w:type="dxa"/>
            <w:hideMark/>
          </w:tcPr>
          <w:p w14:paraId="6CD379BC" w14:textId="38FBC189" w:rsidR="001A7F5E" w:rsidRPr="00012DDA" w:rsidRDefault="001A7F5E">
            <w:pPr>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00012DDA">
              <w:rPr>
                <w:rFonts w:ascii="Arial" w:hAnsi="Arial" w:cs="Arial"/>
                <w:color w:val="0B0C0C"/>
              </w:rPr>
              <w:t>£10</w:t>
            </w:r>
          </w:p>
        </w:tc>
      </w:tr>
      <w:tr w:rsidR="00E078AA" w:rsidRPr="00012DDA" w14:paraId="7C0D3A1B"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23" w:type="dxa"/>
          </w:tcPr>
          <w:p w14:paraId="304032B5" w14:textId="60ECCF61" w:rsidR="00E078AA" w:rsidRPr="00012DDA" w:rsidRDefault="00E078AA">
            <w:pPr>
              <w:rPr>
                <w:rFonts w:ascii="Arial" w:hAnsi="Arial" w:cs="Arial"/>
                <w:color w:val="0B0C0C"/>
              </w:rPr>
            </w:pPr>
            <w:r>
              <w:rPr>
                <w:rFonts w:ascii="Arial" w:hAnsi="Arial" w:cs="Arial"/>
                <w:b w:val="0"/>
                <w:color w:val="0B0C0C"/>
              </w:rPr>
              <w:t>24</w:t>
            </w:r>
            <w:r w:rsidRPr="00012DDA">
              <w:rPr>
                <w:rFonts w:ascii="Arial" w:hAnsi="Arial" w:cs="Arial"/>
                <w:b w:val="0"/>
                <w:color w:val="0B0C0C"/>
              </w:rPr>
              <w:t xml:space="preserve"> hours</w:t>
            </w:r>
            <w:r>
              <w:rPr>
                <w:rFonts w:ascii="Arial" w:hAnsi="Arial" w:cs="Arial"/>
                <w:b w:val="0"/>
                <w:color w:val="0B0C0C"/>
              </w:rPr>
              <w:t xml:space="preserve"> (breakfast provided)</w:t>
            </w:r>
          </w:p>
        </w:tc>
        <w:tc>
          <w:tcPr>
            <w:tcW w:w="3685" w:type="dxa"/>
          </w:tcPr>
          <w:p w14:paraId="29E61DAD" w14:textId="77DCB6E5" w:rsidR="00E078AA" w:rsidRPr="00012DDA" w:rsidRDefault="00E078AA">
            <w:pPr>
              <w:cnfStyle w:val="000000100000" w:firstRow="0" w:lastRow="0" w:firstColumn="0" w:lastColumn="0" w:oddVBand="0" w:evenVBand="0" w:oddHBand="1" w:evenHBand="0" w:firstRowFirstColumn="0" w:firstRowLastColumn="0" w:lastRowFirstColumn="0" w:lastRowLastColumn="0"/>
              <w:rPr>
                <w:rFonts w:ascii="Arial" w:hAnsi="Arial" w:cs="Arial"/>
                <w:color w:val="0B0C0C"/>
              </w:rPr>
            </w:pPr>
            <w:r>
              <w:rPr>
                <w:rFonts w:ascii="Arial" w:hAnsi="Arial" w:cs="Arial"/>
                <w:color w:val="0B0C0C"/>
              </w:rPr>
              <w:t>£20</w:t>
            </w:r>
          </w:p>
        </w:tc>
      </w:tr>
      <w:tr w:rsidR="001A7F5E" w:rsidRPr="00012DDA" w14:paraId="1A0EAC84" w14:textId="77777777" w:rsidTr="00891DFC">
        <w:tc>
          <w:tcPr>
            <w:cnfStyle w:val="001000000000" w:firstRow="0" w:lastRow="0" w:firstColumn="1" w:lastColumn="0" w:oddVBand="0" w:evenVBand="0" w:oddHBand="0" w:evenHBand="0" w:firstRowFirstColumn="0" w:firstRowLastColumn="0" w:lastRowFirstColumn="0" w:lastRowLastColumn="0"/>
            <w:tcW w:w="3823" w:type="dxa"/>
            <w:hideMark/>
          </w:tcPr>
          <w:p w14:paraId="6B69E65F" w14:textId="6961564A" w:rsidR="001A7F5E" w:rsidRPr="00012DDA" w:rsidRDefault="00E078AA" w:rsidP="00E078AA">
            <w:pPr>
              <w:rPr>
                <w:rFonts w:ascii="Arial" w:hAnsi="Arial" w:cs="Arial"/>
                <w:b w:val="0"/>
                <w:color w:val="0B0C0C"/>
              </w:rPr>
            </w:pPr>
            <w:r>
              <w:rPr>
                <w:rFonts w:ascii="Arial" w:hAnsi="Arial" w:cs="Arial"/>
                <w:b w:val="0"/>
                <w:color w:val="0B0C0C"/>
              </w:rPr>
              <w:t>24</w:t>
            </w:r>
            <w:r w:rsidR="001A7F5E" w:rsidRPr="00012DDA">
              <w:rPr>
                <w:rFonts w:ascii="Arial" w:hAnsi="Arial" w:cs="Arial"/>
                <w:b w:val="0"/>
                <w:color w:val="0B0C0C"/>
              </w:rPr>
              <w:t xml:space="preserve"> hours </w:t>
            </w:r>
            <w:r>
              <w:rPr>
                <w:rFonts w:ascii="Arial" w:hAnsi="Arial" w:cs="Arial"/>
                <w:b w:val="0"/>
                <w:color w:val="0B0C0C"/>
              </w:rPr>
              <w:t>(breakfast not provided)</w:t>
            </w:r>
          </w:p>
        </w:tc>
        <w:tc>
          <w:tcPr>
            <w:tcW w:w="3685" w:type="dxa"/>
            <w:hideMark/>
          </w:tcPr>
          <w:p w14:paraId="58B7B103" w14:textId="05255499" w:rsidR="001A7F5E" w:rsidRPr="00012DDA" w:rsidRDefault="001A7F5E">
            <w:pPr>
              <w:cnfStyle w:val="000000000000" w:firstRow="0" w:lastRow="0" w:firstColumn="0" w:lastColumn="0" w:oddVBand="0" w:evenVBand="0" w:oddHBand="0" w:evenHBand="0" w:firstRowFirstColumn="0" w:firstRowLastColumn="0" w:lastRowFirstColumn="0" w:lastRowLastColumn="0"/>
              <w:rPr>
                <w:rFonts w:ascii="Arial" w:hAnsi="Arial" w:cs="Arial"/>
                <w:color w:val="0B0C0C"/>
              </w:rPr>
            </w:pPr>
            <w:r w:rsidRPr="00012DDA">
              <w:rPr>
                <w:rFonts w:ascii="Arial" w:hAnsi="Arial" w:cs="Arial"/>
                <w:color w:val="0B0C0C"/>
              </w:rPr>
              <w:t>£25</w:t>
            </w:r>
          </w:p>
        </w:tc>
      </w:tr>
    </w:tbl>
    <w:p w14:paraId="7137000D" w14:textId="77777777" w:rsidR="00101CCE" w:rsidRDefault="00101CCE" w:rsidP="00351085">
      <w:pPr>
        <w:pStyle w:val="Default"/>
        <w:rPr>
          <w:color w:val="auto"/>
          <w:sz w:val="23"/>
          <w:szCs w:val="23"/>
        </w:rPr>
      </w:pPr>
    </w:p>
    <w:p w14:paraId="3581C1D3" w14:textId="77777777" w:rsidR="00012DDA" w:rsidRDefault="0068321D" w:rsidP="00351085">
      <w:pPr>
        <w:pStyle w:val="Default"/>
        <w:rPr>
          <w:color w:val="auto"/>
          <w:sz w:val="23"/>
          <w:szCs w:val="23"/>
        </w:rPr>
      </w:pPr>
      <w:r>
        <w:rPr>
          <w:color w:val="auto"/>
          <w:sz w:val="23"/>
          <w:szCs w:val="23"/>
        </w:rPr>
        <w:t>The maximum amount claimable within a</w:t>
      </w:r>
      <w:r w:rsidR="00351085" w:rsidRPr="00F12B22">
        <w:rPr>
          <w:color w:val="auto"/>
          <w:sz w:val="23"/>
          <w:szCs w:val="23"/>
        </w:rPr>
        <w:t xml:space="preserve"> </w:t>
      </w:r>
      <w:proofErr w:type="gramStart"/>
      <w:r w:rsidR="00351085" w:rsidRPr="00F12B22">
        <w:rPr>
          <w:color w:val="auto"/>
          <w:sz w:val="23"/>
          <w:szCs w:val="23"/>
        </w:rPr>
        <w:t>24 hour</w:t>
      </w:r>
      <w:proofErr w:type="gramEnd"/>
      <w:r w:rsidR="00351085" w:rsidRPr="00F12B22">
        <w:rPr>
          <w:color w:val="auto"/>
          <w:sz w:val="23"/>
          <w:szCs w:val="23"/>
        </w:rPr>
        <w:t xml:space="preserve"> period</w:t>
      </w:r>
      <w:r>
        <w:rPr>
          <w:color w:val="auto"/>
          <w:sz w:val="23"/>
          <w:szCs w:val="23"/>
        </w:rPr>
        <w:t xml:space="preserve"> is £25</w:t>
      </w:r>
      <w:r w:rsidR="00351085" w:rsidRPr="00F12B22">
        <w:rPr>
          <w:color w:val="auto"/>
          <w:sz w:val="23"/>
          <w:szCs w:val="23"/>
        </w:rPr>
        <w:t>. Where some meals have been provided then this must not be claimed for</w:t>
      </w:r>
      <w:r w:rsidR="00101CCE">
        <w:rPr>
          <w:color w:val="auto"/>
          <w:sz w:val="23"/>
          <w:szCs w:val="23"/>
        </w:rPr>
        <w:t xml:space="preserve">. </w:t>
      </w:r>
    </w:p>
    <w:p w14:paraId="610D886C" w14:textId="77777777" w:rsidR="00012DDA" w:rsidRDefault="00012DDA" w:rsidP="00351085">
      <w:pPr>
        <w:pStyle w:val="Default"/>
        <w:rPr>
          <w:color w:val="auto"/>
          <w:sz w:val="23"/>
          <w:szCs w:val="23"/>
        </w:rPr>
      </w:pPr>
    </w:p>
    <w:p w14:paraId="6BCFA07C" w14:textId="625AEAE9" w:rsidR="00F96B97" w:rsidRPr="00012DDA" w:rsidRDefault="00101CCE" w:rsidP="00351085">
      <w:pPr>
        <w:pStyle w:val="Default"/>
        <w:rPr>
          <w:b/>
          <w:color w:val="auto"/>
          <w:sz w:val="23"/>
          <w:szCs w:val="23"/>
        </w:rPr>
      </w:pPr>
      <w:r w:rsidRPr="00012DDA">
        <w:rPr>
          <w:b/>
          <w:color w:val="auto"/>
          <w:sz w:val="23"/>
          <w:szCs w:val="23"/>
        </w:rPr>
        <w:t>Some example</w:t>
      </w:r>
      <w:r w:rsidR="00891DFC">
        <w:rPr>
          <w:b/>
          <w:color w:val="auto"/>
          <w:sz w:val="23"/>
          <w:szCs w:val="23"/>
        </w:rPr>
        <w:t>s</w:t>
      </w:r>
      <w:r w:rsidRPr="00012DDA">
        <w:rPr>
          <w:b/>
          <w:color w:val="auto"/>
          <w:sz w:val="23"/>
          <w:szCs w:val="23"/>
        </w:rPr>
        <w:t xml:space="preserve"> are provided below</w:t>
      </w:r>
      <w:r w:rsidR="00012DDA" w:rsidRPr="00012DDA">
        <w:rPr>
          <w:b/>
          <w:color w:val="auto"/>
          <w:sz w:val="23"/>
          <w:szCs w:val="23"/>
        </w:rPr>
        <w:t>:</w:t>
      </w:r>
    </w:p>
    <w:tbl>
      <w:tblPr>
        <w:tblStyle w:val="GridTable4-Accent1"/>
        <w:tblW w:w="9776" w:type="dxa"/>
        <w:tblLook w:val="04A0" w:firstRow="1" w:lastRow="0" w:firstColumn="1" w:lastColumn="0" w:noHBand="0" w:noVBand="1"/>
      </w:tblPr>
      <w:tblGrid>
        <w:gridCol w:w="7792"/>
        <w:gridCol w:w="1984"/>
      </w:tblGrid>
      <w:tr w:rsidR="00012DDA" w:rsidRPr="00012DDA" w14:paraId="5944E756" w14:textId="77777777" w:rsidTr="00F36A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shd w:val="clear" w:color="auto" w:fill="1F497D" w:themeFill="text2"/>
          </w:tcPr>
          <w:p w14:paraId="63C170BF" w14:textId="4250F111" w:rsidR="00F96B97" w:rsidRPr="00012DDA" w:rsidRDefault="00F96B97" w:rsidP="00351085">
            <w:pPr>
              <w:pStyle w:val="Default"/>
              <w:rPr>
                <w:color w:val="FFFFFF" w:themeColor="background1"/>
              </w:rPr>
            </w:pPr>
            <w:r w:rsidRPr="00012DDA">
              <w:rPr>
                <w:color w:val="FFFFFF" w:themeColor="background1"/>
              </w:rPr>
              <w:t>Scenario</w:t>
            </w:r>
          </w:p>
        </w:tc>
        <w:tc>
          <w:tcPr>
            <w:tcW w:w="1984" w:type="dxa"/>
            <w:shd w:val="clear" w:color="auto" w:fill="1F497D" w:themeFill="text2"/>
          </w:tcPr>
          <w:p w14:paraId="0F0F4E8B" w14:textId="23C35703" w:rsidR="00F96B97" w:rsidRPr="00012DDA" w:rsidRDefault="009C6B94" w:rsidP="00351085">
            <w:pPr>
              <w:pStyle w:val="Defaul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 xml:space="preserve">Maximum </w:t>
            </w:r>
            <w:proofErr w:type="gramStart"/>
            <w:r>
              <w:rPr>
                <w:color w:val="FFFFFF" w:themeColor="background1"/>
              </w:rPr>
              <w:t>c</w:t>
            </w:r>
            <w:r w:rsidR="00F96B97" w:rsidRPr="00012DDA">
              <w:rPr>
                <w:color w:val="FFFFFF" w:themeColor="background1"/>
              </w:rPr>
              <w:t xml:space="preserve">laim </w:t>
            </w:r>
            <w:r>
              <w:rPr>
                <w:color w:val="FFFFFF" w:themeColor="background1"/>
              </w:rPr>
              <w:t xml:space="preserve"> (</w:t>
            </w:r>
            <w:proofErr w:type="gramEnd"/>
            <w:r>
              <w:rPr>
                <w:color w:val="FFFFFF" w:themeColor="background1"/>
              </w:rPr>
              <w:t>if a cost was incurred)</w:t>
            </w:r>
          </w:p>
        </w:tc>
      </w:tr>
      <w:tr w:rsidR="00712CBB" w:rsidRPr="00012DDA" w14:paraId="72B3C9FC"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23052EBC" w14:textId="77777777" w:rsidR="00891DFC" w:rsidRDefault="00712CBB" w:rsidP="00712CBB">
            <w:pPr>
              <w:pStyle w:val="Default"/>
              <w:rPr>
                <w:b w:val="0"/>
                <w:color w:val="auto"/>
              </w:rPr>
            </w:pPr>
            <w:r w:rsidRPr="00012DDA">
              <w:rPr>
                <w:b w:val="0"/>
                <w:color w:val="auto"/>
              </w:rPr>
              <w:t xml:space="preserve">Away from base between 08:00 and 18:00. </w:t>
            </w:r>
          </w:p>
          <w:p w14:paraId="7FB0AE30" w14:textId="18DEABBB" w:rsidR="00712CBB" w:rsidRPr="00012DDA" w:rsidRDefault="00712CBB" w:rsidP="00712CBB">
            <w:pPr>
              <w:pStyle w:val="Default"/>
              <w:rPr>
                <w:b w:val="0"/>
                <w:color w:val="auto"/>
              </w:rPr>
            </w:pPr>
            <w:r w:rsidRPr="00012DDA">
              <w:rPr>
                <w:b w:val="0"/>
                <w:color w:val="auto"/>
              </w:rPr>
              <w:t xml:space="preserve">Lunch has been provided </w:t>
            </w:r>
          </w:p>
        </w:tc>
        <w:tc>
          <w:tcPr>
            <w:tcW w:w="1984" w:type="dxa"/>
          </w:tcPr>
          <w:p w14:paraId="381758BB" w14:textId="591EC09E" w:rsidR="00712CBB" w:rsidRPr="00012DDA" w:rsidRDefault="00712CBB" w:rsidP="00712CBB">
            <w:pPr>
              <w:pStyle w:val="Default"/>
              <w:cnfStyle w:val="000000100000" w:firstRow="0" w:lastRow="0" w:firstColumn="0" w:lastColumn="0" w:oddVBand="0" w:evenVBand="0" w:oddHBand="1" w:evenHBand="0" w:firstRowFirstColumn="0" w:firstRowLastColumn="0" w:lastRowFirstColumn="0" w:lastRowLastColumn="0"/>
              <w:rPr>
                <w:color w:val="auto"/>
              </w:rPr>
            </w:pPr>
            <w:r w:rsidRPr="00012DDA">
              <w:rPr>
                <w:color w:val="auto"/>
              </w:rPr>
              <w:t>£0</w:t>
            </w:r>
          </w:p>
        </w:tc>
      </w:tr>
      <w:tr w:rsidR="00712CBB" w:rsidRPr="00012DDA" w14:paraId="5519F530" w14:textId="77777777" w:rsidTr="00891DFC">
        <w:tc>
          <w:tcPr>
            <w:cnfStyle w:val="001000000000" w:firstRow="0" w:lastRow="0" w:firstColumn="1" w:lastColumn="0" w:oddVBand="0" w:evenVBand="0" w:oddHBand="0" w:evenHBand="0" w:firstRowFirstColumn="0" w:firstRowLastColumn="0" w:lastRowFirstColumn="0" w:lastRowLastColumn="0"/>
            <w:tcW w:w="7792" w:type="dxa"/>
          </w:tcPr>
          <w:p w14:paraId="316ED8B6" w14:textId="77777777" w:rsidR="00891DFC" w:rsidRDefault="00712CBB" w:rsidP="00712CBB">
            <w:pPr>
              <w:pStyle w:val="Default"/>
              <w:rPr>
                <w:b w:val="0"/>
                <w:color w:val="auto"/>
              </w:rPr>
            </w:pPr>
            <w:r w:rsidRPr="00012DDA">
              <w:rPr>
                <w:b w:val="0"/>
                <w:color w:val="auto"/>
              </w:rPr>
              <w:t xml:space="preserve">Away from base between 08:00 and 18:00. </w:t>
            </w:r>
          </w:p>
          <w:p w14:paraId="5C9702EC" w14:textId="047C854E" w:rsidR="00712CBB" w:rsidRPr="00012DDA" w:rsidRDefault="00712CBB" w:rsidP="00712CBB">
            <w:pPr>
              <w:pStyle w:val="Default"/>
              <w:rPr>
                <w:b w:val="0"/>
                <w:color w:val="auto"/>
              </w:rPr>
            </w:pPr>
            <w:r w:rsidRPr="00012DDA">
              <w:rPr>
                <w:b w:val="0"/>
                <w:color w:val="auto"/>
              </w:rPr>
              <w:t>Lunch has not been provided</w:t>
            </w:r>
          </w:p>
        </w:tc>
        <w:tc>
          <w:tcPr>
            <w:tcW w:w="1984" w:type="dxa"/>
          </w:tcPr>
          <w:p w14:paraId="28580DE6" w14:textId="0BD05840" w:rsidR="00712CBB" w:rsidRPr="00012DDA" w:rsidRDefault="00712CBB" w:rsidP="00712CBB">
            <w:pPr>
              <w:pStyle w:val="Default"/>
              <w:cnfStyle w:val="000000000000" w:firstRow="0" w:lastRow="0" w:firstColumn="0" w:lastColumn="0" w:oddVBand="0" w:evenVBand="0" w:oddHBand="0" w:evenHBand="0" w:firstRowFirstColumn="0" w:firstRowLastColumn="0" w:lastRowFirstColumn="0" w:lastRowLastColumn="0"/>
              <w:rPr>
                <w:color w:val="auto"/>
              </w:rPr>
            </w:pPr>
            <w:r w:rsidRPr="00012DDA">
              <w:rPr>
                <w:color w:val="auto"/>
              </w:rPr>
              <w:t>£5</w:t>
            </w:r>
          </w:p>
        </w:tc>
      </w:tr>
      <w:tr w:rsidR="00712CBB" w:rsidRPr="00012DDA" w14:paraId="1E6E42D0"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3812A3E1" w14:textId="77777777" w:rsidR="00891DFC" w:rsidRDefault="00712CBB" w:rsidP="00DF276A">
            <w:pPr>
              <w:pStyle w:val="Default"/>
              <w:rPr>
                <w:b w:val="0"/>
                <w:color w:val="auto"/>
              </w:rPr>
            </w:pPr>
            <w:r w:rsidRPr="00012DDA">
              <w:rPr>
                <w:b w:val="0"/>
                <w:color w:val="auto"/>
              </w:rPr>
              <w:t>Away from base between 08:00 and 20:</w:t>
            </w:r>
            <w:r w:rsidR="00E00E24">
              <w:rPr>
                <w:b w:val="0"/>
                <w:color w:val="auto"/>
              </w:rPr>
              <w:t>00</w:t>
            </w:r>
            <w:r w:rsidRPr="00012DDA">
              <w:rPr>
                <w:b w:val="0"/>
                <w:color w:val="auto"/>
              </w:rPr>
              <w:t xml:space="preserve">. </w:t>
            </w:r>
          </w:p>
          <w:p w14:paraId="436BBAF7" w14:textId="3E25BE76" w:rsidR="00712CBB" w:rsidRPr="00012DDA" w:rsidRDefault="00712CBB" w:rsidP="00DF276A">
            <w:pPr>
              <w:pStyle w:val="Default"/>
              <w:rPr>
                <w:b w:val="0"/>
                <w:color w:val="auto"/>
              </w:rPr>
            </w:pPr>
            <w:r w:rsidRPr="00012DDA">
              <w:rPr>
                <w:b w:val="0"/>
                <w:color w:val="auto"/>
              </w:rPr>
              <w:t xml:space="preserve">Lunch has been provided </w:t>
            </w:r>
          </w:p>
        </w:tc>
        <w:tc>
          <w:tcPr>
            <w:tcW w:w="1984" w:type="dxa"/>
          </w:tcPr>
          <w:p w14:paraId="16F05EB7" w14:textId="1812ADB1" w:rsidR="00712CBB" w:rsidRPr="00012DDA" w:rsidRDefault="00712CBB" w:rsidP="00712CBB">
            <w:pPr>
              <w:pStyle w:val="Default"/>
              <w:cnfStyle w:val="000000100000" w:firstRow="0" w:lastRow="0" w:firstColumn="0" w:lastColumn="0" w:oddVBand="0" w:evenVBand="0" w:oddHBand="1" w:evenHBand="0" w:firstRowFirstColumn="0" w:firstRowLastColumn="0" w:lastRowFirstColumn="0" w:lastRowLastColumn="0"/>
              <w:rPr>
                <w:color w:val="auto"/>
              </w:rPr>
            </w:pPr>
            <w:r w:rsidRPr="00012DDA">
              <w:rPr>
                <w:color w:val="auto"/>
              </w:rPr>
              <w:t>£5</w:t>
            </w:r>
          </w:p>
        </w:tc>
      </w:tr>
      <w:tr w:rsidR="00712CBB" w:rsidRPr="00012DDA" w14:paraId="41C9F59A" w14:textId="77777777" w:rsidTr="00891DFC">
        <w:tc>
          <w:tcPr>
            <w:cnfStyle w:val="001000000000" w:firstRow="0" w:lastRow="0" w:firstColumn="1" w:lastColumn="0" w:oddVBand="0" w:evenVBand="0" w:oddHBand="0" w:evenHBand="0" w:firstRowFirstColumn="0" w:firstRowLastColumn="0" w:lastRowFirstColumn="0" w:lastRowLastColumn="0"/>
            <w:tcW w:w="7792" w:type="dxa"/>
          </w:tcPr>
          <w:p w14:paraId="490898E5" w14:textId="77777777" w:rsidR="00891DFC" w:rsidRDefault="00712CBB" w:rsidP="00DF276A">
            <w:pPr>
              <w:pStyle w:val="Default"/>
              <w:rPr>
                <w:b w:val="0"/>
                <w:color w:val="auto"/>
              </w:rPr>
            </w:pPr>
            <w:r w:rsidRPr="00012DDA">
              <w:rPr>
                <w:b w:val="0"/>
                <w:color w:val="auto"/>
              </w:rPr>
              <w:t>Away from base between 08:00 and 20:</w:t>
            </w:r>
            <w:r w:rsidR="00E00E24">
              <w:rPr>
                <w:b w:val="0"/>
                <w:color w:val="auto"/>
              </w:rPr>
              <w:t>00</w:t>
            </w:r>
            <w:r w:rsidRPr="00012DDA">
              <w:rPr>
                <w:b w:val="0"/>
                <w:color w:val="auto"/>
              </w:rPr>
              <w:t xml:space="preserve">. </w:t>
            </w:r>
          </w:p>
          <w:p w14:paraId="486CE62F" w14:textId="69DE75D6" w:rsidR="00712CBB" w:rsidRPr="00012DDA" w:rsidRDefault="00712CBB" w:rsidP="00DF276A">
            <w:pPr>
              <w:pStyle w:val="Default"/>
              <w:rPr>
                <w:b w:val="0"/>
                <w:color w:val="auto"/>
              </w:rPr>
            </w:pPr>
            <w:r w:rsidRPr="00012DDA">
              <w:rPr>
                <w:b w:val="0"/>
                <w:color w:val="auto"/>
              </w:rPr>
              <w:t>Lunch has not been provided</w:t>
            </w:r>
          </w:p>
        </w:tc>
        <w:tc>
          <w:tcPr>
            <w:tcW w:w="1984" w:type="dxa"/>
          </w:tcPr>
          <w:p w14:paraId="14C76DBF" w14:textId="5CA213B4" w:rsidR="00712CBB" w:rsidRPr="00012DDA" w:rsidRDefault="00712CBB" w:rsidP="00712CBB">
            <w:pPr>
              <w:pStyle w:val="Default"/>
              <w:cnfStyle w:val="000000000000" w:firstRow="0" w:lastRow="0" w:firstColumn="0" w:lastColumn="0" w:oddVBand="0" w:evenVBand="0" w:oddHBand="0" w:evenHBand="0" w:firstRowFirstColumn="0" w:firstRowLastColumn="0" w:lastRowFirstColumn="0" w:lastRowLastColumn="0"/>
              <w:rPr>
                <w:color w:val="auto"/>
              </w:rPr>
            </w:pPr>
            <w:r w:rsidRPr="00012DDA">
              <w:rPr>
                <w:color w:val="auto"/>
              </w:rPr>
              <w:t>£10</w:t>
            </w:r>
          </w:p>
        </w:tc>
      </w:tr>
      <w:tr w:rsidR="002B017F" w:rsidRPr="00012DDA" w14:paraId="41B55803"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165B7B1F" w14:textId="77777777" w:rsidR="00891DFC" w:rsidRDefault="002B017F" w:rsidP="00DF276A">
            <w:pPr>
              <w:pStyle w:val="Default"/>
              <w:rPr>
                <w:b w:val="0"/>
                <w:color w:val="auto"/>
              </w:rPr>
            </w:pPr>
            <w:r w:rsidRPr="00012DDA">
              <w:rPr>
                <w:b w:val="0"/>
                <w:color w:val="auto"/>
              </w:rPr>
              <w:t xml:space="preserve">Away from base between 06:00 and 21:00. </w:t>
            </w:r>
          </w:p>
          <w:p w14:paraId="01A0F893" w14:textId="4E8F08B6" w:rsidR="002B017F" w:rsidRPr="00012DDA" w:rsidRDefault="002B017F" w:rsidP="00DF276A">
            <w:pPr>
              <w:pStyle w:val="Default"/>
              <w:rPr>
                <w:b w:val="0"/>
                <w:color w:val="auto"/>
              </w:rPr>
            </w:pPr>
            <w:r w:rsidRPr="00012DDA">
              <w:rPr>
                <w:b w:val="0"/>
                <w:color w:val="auto"/>
              </w:rPr>
              <w:t>No meals provided.</w:t>
            </w:r>
          </w:p>
        </w:tc>
        <w:tc>
          <w:tcPr>
            <w:tcW w:w="1984" w:type="dxa"/>
          </w:tcPr>
          <w:p w14:paraId="176CBDAD" w14:textId="369F8D05" w:rsidR="002B017F" w:rsidRPr="00012DDA" w:rsidRDefault="00E078AA" w:rsidP="002B017F">
            <w:pPr>
              <w:pStyle w:val="Default"/>
              <w:cnfStyle w:val="000000100000" w:firstRow="0" w:lastRow="0" w:firstColumn="0" w:lastColumn="0" w:oddVBand="0" w:evenVBand="0" w:oddHBand="1" w:evenHBand="0" w:firstRowFirstColumn="0" w:firstRowLastColumn="0" w:lastRowFirstColumn="0" w:lastRowLastColumn="0"/>
              <w:rPr>
                <w:color w:val="auto"/>
              </w:rPr>
            </w:pPr>
            <w:r>
              <w:rPr>
                <w:color w:val="auto"/>
              </w:rPr>
              <w:t>£5 and £10</w:t>
            </w:r>
          </w:p>
        </w:tc>
      </w:tr>
      <w:tr w:rsidR="00712CBB" w:rsidRPr="00012DDA" w14:paraId="2F65D8DF" w14:textId="77777777" w:rsidTr="00891DFC">
        <w:tc>
          <w:tcPr>
            <w:cnfStyle w:val="001000000000" w:firstRow="0" w:lastRow="0" w:firstColumn="1" w:lastColumn="0" w:oddVBand="0" w:evenVBand="0" w:oddHBand="0" w:evenHBand="0" w:firstRowFirstColumn="0" w:firstRowLastColumn="0" w:lastRowFirstColumn="0" w:lastRowLastColumn="0"/>
            <w:tcW w:w="7792" w:type="dxa"/>
          </w:tcPr>
          <w:p w14:paraId="604E0DA6" w14:textId="77777777" w:rsidR="00891DFC" w:rsidRDefault="00712CBB" w:rsidP="00712CBB">
            <w:pPr>
              <w:pStyle w:val="Default"/>
              <w:rPr>
                <w:b w:val="0"/>
                <w:color w:val="auto"/>
              </w:rPr>
            </w:pPr>
            <w:r w:rsidRPr="00012DDA">
              <w:rPr>
                <w:b w:val="0"/>
                <w:color w:val="auto"/>
              </w:rPr>
              <w:t xml:space="preserve">Away from base 16:00 on day 1 until 20:00 on day 2. </w:t>
            </w:r>
          </w:p>
          <w:p w14:paraId="0705DF1C" w14:textId="2D6E89D9" w:rsidR="00712CBB" w:rsidRPr="00012DDA" w:rsidRDefault="00712CBB" w:rsidP="00712CBB">
            <w:pPr>
              <w:pStyle w:val="Default"/>
              <w:rPr>
                <w:b w:val="0"/>
                <w:color w:val="auto"/>
              </w:rPr>
            </w:pPr>
            <w:r w:rsidRPr="00012DDA">
              <w:rPr>
                <w:b w:val="0"/>
                <w:color w:val="auto"/>
              </w:rPr>
              <w:t>Breakfast and lunch provided on day 2.</w:t>
            </w:r>
          </w:p>
        </w:tc>
        <w:tc>
          <w:tcPr>
            <w:tcW w:w="1984" w:type="dxa"/>
          </w:tcPr>
          <w:p w14:paraId="5B1A2ED3" w14:textId="61CFDD11" w:rsidR="00712CBB" w:rsidRPr="00012DDA" w:rsidRDefault="00712CBB" w:rsidP="00712CBB">
            <w:pPr>
              <w:pStyle w:val="Default"/>
              <w:cnfStyle w:val="000000000000" w:firstRow="0" w:lastRow="0" w:firstColumn="0" w:lastColumn="0" w:oddVBand="0" w:evenVBand="0" w:oddHBand="0" w:evenHBand="0" w:firstRowFirstColumn="0" w:firstRowLastColumn="0" w:lastRowFirstColumn="0" w:lastRowLastColumn="0"/>
              <w:rPr>
                <w:color w:val="auto"/>
              </w:rPr>
            </w:pPr>
            <w:r w:rsidRPr="00012DDA">
              <w:rPr>
                <w:color w:val="auto"/>
              </w:rPr>
              <w:t xml:space="preserve">£10 for day 1 </w:t>
            </w:r>
          </w:p>
          <w:p w14:paraId="074CFBD5" w14:textId="71835CE8" w:rsidR="00712CBB" w:rsidRPr="00012DDA" w:rsidRDefault="00712CBB" w:rsidP="00712CBB">
            <w:pPr>
              <w:pStyle w:val="Default"/>
              <w:cnfStyle w:val="000000000000" w:firstRow="0" w:lastRow="0" w:firstColumn="0" w:lastColumn="0" w:oddVBand="0" w:evenVBand="0" w:oddHBand="0" w:evenHBand="0" w:firstRowFirstColumn="0" w:firstRowLastColumn="0" w:lastRowFirstColumn="0" w:lastRowLastColumn="0"/>
              <w:rPr>
                <w:color w:val="auto"/>
              </w:rPr>
            </w:pPr>
            <w:r w:rsidRPr="00012DDA">
              <w:rPr>
                <w:color w:val="auto"/>
              </w:rPr>
              <w:t xml:space="preserve">£5 for day 2 </w:t>
            </w:r>
          </w:p>
        </w:tc>
      </w:tr>
      <w:tr w:rsidR="00712CBB" w:rsidRPr="00012DDA" w14:paraId="1FB34D8C" w14:textId="77777777" w:rsidTr="00891D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14:paraId="04AB1CEE" w14:textId="77777777" w:rsidR="00891DFC" w:rsidRDefault="00712CBB" w:rsidP="00712CBB">
            <w:pPr>
              <w:pStyle w:val="Default"/>
              <w:rPr>
                <w:b w:val="0"/>
                <w:color w:val="auto"/>
              </w:rPr>
            </w:pPr>
            <w:r w:rsidRPr="00012DDA">
              <w:rPr>
                <w:b w:val="0"/>
                <w:color w:val="auto"/>
              </w:rPr>
              <w:t xml:space="preserve">Away from base 16:00 on day 1 until 19:00 on day 2. </w:t>
            </w:r>
          </w:p>
          <w:p w14:paraId="076060E9" w14:textId="33819ACC" w:rsidR="00712CBB" w:rsidRPr="00012DDA" w:rsidRDefault="00712CBB" w:rsidP="00712CBB">
            <w:pPr>
              <w:pStyle w:val="Default"/>
              <w:rPr>
                <w:b w:val="0"/>
                <w:color w:val="auto"/>
              </w:rPr>
            </w:pPr>
            <w:r w:rsidRPr="00012DDA">
              <w:rPr>
                <w:b w:val="0"/>
                <w:color w:val="auto"/>
              </w:rPr>
              <w:t>Breakfast provided on day 2.</w:t>
            </w:r>
          </w:p>
        </w:tc>
        <w:tc>
          <w:tcPr>
            <w:tcW w:w="1984" w:type="dxa"/>
          </w:tcPr>
          <w:p w14:paraId="1772870A" w14:textId="49834219" w:rsidR="00712CBB" w:rsidRPr="00012DDA" w:rsidRDefault="00712CBB" w:rsidP="00757D5E">
            <w:pPr>
              <w:pStyle w:val="Default"/>
              <w:cnfStyle w:val="000000100000" w:firstRow="0" w:lastRow="0" w:firstColumn="0" w:lastColumn="0" w:oddVBand="0" w:evenVBand="0" w:oddHBand="1" w:evenHBand="0" w:firstRowFirstColumn="0" w:firstRowLastColumn="0" w:lastRowFirstColumn="0" w:lastRowLastColumn="0"/>
              <w:rPr>
                <w:color w:val="auto"/>
              </w:rPr>
            </w:pPr>
            <w:r w:rsidRPr="00012DDA">
              <w:rPr>
                <w:color w:val="auto"/>
              </w:rPr>
              <w:t>£</w:t>
            </w:r>
            <w:r w:rsidR="00757D5E">
              <w:rPr>
                <w:color w:val="auto"/>
              </w:rPr>
              <w:t>20</w:t>
            </w:r>
          </w:p>
        </w:tc>
      </w:tr>
      <w:tr w:rsidR="00712CBB" w:rsidRPr="00012DDA" w14:paraId="15E62DC4" w14:textId="77777777" w:rsidTr="00891DFC">
        <w:tc>
          <w:tcPr>
            <w:cnfStyle w:val="001000000000" w:firstRow="0" w:lastRow="0" w:firstColumn="1" w:lastColumn="0" w:oddVBand="0" w:evenVBand="0" w:oddHBand="0" w:evenHBand="0" w:firstRowFirstColumn="0" w:firstRowLastColumn="0" w:lastRowFirstColumn="0" w:lastRowLastColumn="0"/>
            <w:tcW w:w="7792" w:type="dxa"/>
          </w:tcPr>
          <w:p w14:paraId="0E1C50C4" w14:textId="77777777" w:rsidR="00891DFC" w:rsidRDefault="00712CBB" w:rsidP="00712CBB">
            <w:pPr>
              <w:pStyle w:val="Default"/>
              <w:rPr>
                <w:b w:val="0"/>
                <w:color w:val="auto"/>
              </w:rPr>
            </w:pPr>
            <w:r w:rsidRPr="00012DDA">
              <w:rPr>
                <w:b w:val="0"/>
                <w:color w:val="auto"/>
              </w:rPr>
              <w:t xml:space="preserve">Away from base 16:00 on day 1 until 19:00 on day 2. </w:t>
            </w:r>
          </w:p>
          <w:p w14:paraId="3896FAED" w14:textId="6F531BB5" w:rsidR="00712CBB" w:rsidRPr="00012DDA" w:rsidRDefault="00712CBB" w:rsidP="00712CBB">
            <w:pPr>
              <w:pStyle w:val="Default"/>
              <w:rPr>
                <w:b w:val="0"/>
                <w:color w:val="auto"/>
              </w:rPr>
            </w:pPr>
            <w:r w:rsidRPr="00012DDA">
              <w:rPr>
                <w:b w:val="0"/>
                <w:color w:val="auto"/>
              </w:rPr>
              <w:t>No meals or refreshments provided</w:t>
            </w:r>
          </w:p>
        </w:tc>
        <w:tc>
          <w:tcPr>
            <w:tcW w:w="1984" w:type="dxa"/>
          </w:tcPr>
          <w:p w14:paraId="1325381B" w14:textId="4AB49619" w:rsidR="00712CBB" w:rsidRPr="00012DDA" w:rsidRDefault="00712CBB" w:rsidP="00757D5E">
            <w:pPr>
              <w:pStyle w:val="Default"/>
              <w:cnfStyle w:val="000000000000" w:firstRow="0" w:lastRow="0" w:firstColumn="0" w:lastColumn="0" w:oddVBand="0" w:evenVBand="0" w:oddHBand="0" w:evenHBand="0" w:firstRowFirstColumn="0" w:firstRowLastColumn="0" w:lastRowFirstColumn="0" w:lastRowLastColumn="0"/>
              <w:rPr>
                <w:color w:val="auto"/>
              </w:rPr>
            </w:pPr>
            <w:r w:rsidRPr="00012DDA">
              <w:rPr>
                <w:color w:val="auto"/>
              </w:rPr>
              <w:t xml:space="preserve">£25 </w:t>
            </w:r>
          </w:p>
        </w:tc>
      </w:tr>
    </w:tbl>
    <w:p w14:paraId="174CA97D" w14:textId="77777777" w:rsidR="00F96B97" w:rsidRDefault="00F96B97" w:rsidP="00351085">
      <w:pPr>
        <w:pStyle w:val="Default"/>
        <w:rPr>
          <w:color w:val="auto"/>
          <w:sz w:val="23"/>
          <w:szCs w:val="23"/>
        </w:rPr>
      </w:pPr>
    </w:p>
    <w:p w14:paraId="730EDE60" w14:textId="77777777" w:rsidR="00F96B97" w:rsidRDefault="00F96B97" w:rsidP="00351085">
      <w:pPr>
        <w:pStyle w:val="Default"/>
        <w:rPr>
          <w:color w:val="auto"/>
          <w:sz w:val="23"/>
          <w:szCs w:val="23"/>
        </w:rPr>
      </w:pPr>
    </w:p>
    <w:p w14:paraId="1C75EB09" w14:textId="77777777" w:rsidR="00F96B97" w:rsidRDefault="00F96B97" w:rsidP="00351085">
      <w:pPr>
        <w:pStyle w:val="Default"/>
        <w:rPr>
          <w:color w:val="auto"/>
          <w:sz w:val="23"/>
          <w:szCs w:val="23"/>
        </w:rPr>
      </w:pPr>
    </w:p>
    <w:p w14:paraId="72C669F2" w14:textId="77777777" w:rsidR="00F96B97" w:rsidRDefault="00F96B97" w:rsidP="00351085">
      <w:pPr>
        <w:pStyle w:val="Default"/>
        <w:rPr>
          <w:color w:val="auto"/>
          <w:sz w:val="23"/>
          <w:szCs w:val="23"/>
        </w:rPr>
      </w:pPr>
    </w:p>
    <w:p w14:paraId="1EB84693" w14:textId="77777777" w:rsidR="00907F7F" w:rsidRPr="005C68E5" w:rsidRDefault="00907F7F" w:rsidP="008A73FE">
      <w:pPr>
        <w:pStyle w:val="Heading1"/>
        <w:rPr>
          <w:color w:val="31849B" w:themeColor="accent5" w:themeShade="BF"/>
          <w:sz w:val="40"/>
          <w:szCs w:val="40"/>
        </w:rPr>
      </w:pPr>
      <w:bookmarkStart w:id="26" w:name="_Toc17796062"/>
      <w:r w:rsidRPr="005C68E5">
        <w:rPr>
          <w:color w:val="31849B" w:themeColor="accent5" w:themeShade="BF"/>
          <w:sz w:val="40"/>
          <w:szCs w:val="40"/>
        </w:rPr>
        <w:t xml:space="preserve">Appendix 2 – </w:t>
      </w:r>
      <w:r w:rsidR="00351085" w:rsidRPr="005C68E5">
        <w:rPr>
          <w:color w:val="31849B" w:themeColor="accent5" w:themeShade="BF"/>
          <w:sz w:val="40"/>
          <w:szCs w:val="40"/>
        </w:rPr>
        <w:t>Mileage rates</w:t>
      </w:r>
      <w:bookmarkEnd w:id="26"/>
    </w:p>
    <w:p w14:paraId="1E782A74" w14:textId="77777777" w:rsidR="00B90D98" w:rsidRPr="009B5DE4" w:rsidRDefault="00B90D98" w:rsidP="00B90D98">
      <w:pPr>
        <w:pStyle w:val="Default"/>
        <w:rPr>
          <w:b/>
          <w:bCs/>
          <w:color w:val="auto"/>
          <w:sz w:val="23"/>
          <w:szCs w:val="23"/>
        </w:rPr>
      </w:pPr>
      <w:r w:rsidRPr="009B5DE4">
        <w:rPr>
          <w:b/>
          <w:bCs/>
          <w:color w:val="auto"/>
          <w:sz w:val="23"/>
          <w:szCs w:val="23"/>
        </w:rPr>
        <w:t>Motor Vehicles (</w:t>
      </w:r>
      <w:r w:rsidR="009A1096" w:rsidRPr="009B5DE4">
        <w:rPr>
          <w:b/>
          <w:bCs/>
          <w:color w:val="auto"/>
          <w:sz w:val="23"/>
          <w:szCs w:val="23"/>
        </w:rPr>
        <w:t>Reserve</w:t>
      </w:r>
      <w:r w:rsidRPr="009B5DE4">
        <w:rPr>
          <w:b/>
          <w:bCs/>
          <w:color w:val="auto"/>
          <w:sz w:val="23"/>
          <w:szCs w:val="23"/>
        </w:rPr>
        <w:t xml:space="preserve"> Rate)</w:t>
      </w:r>
    </w:p>
    <w:p w14:paraId="03016EB3" w14:textId="77777777" w:rsidR="00B90D98" w:rsidRPr="009B5DE4" w:rsidRDefault="00B90D98" w:rsidP="00B90D98">
      <w:pPr>
        <w:pStyle w:val="Default"/>
        <w:rPr>
          <w:color w:val="auto"/>
          <w:sz w:val="23"/>
          <w:szCs w:val="23"/>
        </w:rPr>
      </w:pPr>
      <w:r w:rsidRPr="009B5DE4">
        <w:rPr>
          <w:color w:val="auto"/>
          <w:sz w:val="23"/>
          <w:szCs w:val="23"/>
        </w:rPr>
        <w:t>28p per mile</w:t>
      </w:r>
    </w:p>
    <w:p w14:paraId="6900723C" w14:textId="77777777" w:rsidR="00B90D98" w:rsidRDefault="00B90D98" w:rsidP="00B90D98">
      <w:pPr>
        <w:pStyle w:val="Default"/>
        <w:rPr>
          <w:b/>
          <w:bCs/>
          <w:sz w:val="23"/>
          <w:szCs w:val="23"/>
        </w:rPr>
      </w:pPr>
    </w:p>
    <w:p w14:paraId="512B6441" w14:textId="77777777" w:rsidR="00B90D98" w:rsidRDefault="00B90D98" w:rsidP="00B90D98">
      <w:pPr>
        <w:pStyle w:val="Default"/>
        <w:rPr>
          <w:b/>
          <w:bCs/>
          <w:sz w:val="23"/>
          <w:szCs w:val="23"/>
        </w:rPr>
      </w:pPr>
      <w:proofErr w:type="gramStart"/>
      <w:r>
        <w:rPr>
          <w:b/>
          <w:bCs/>
          <w:sz w:val="23"/>
          <w:szCs w:val="23"/>
        </w:rPr>
        <w:t>Motor Cycles</w:t>
      </w:r>
      <w:proofErr w:type="gramEnd"/>
      <w:r>
        <w:rPr>
          <w:b/>
          <w:bCs/>
          <w:sz w:val="23"/>
          <w:szCs w:val="23"/>
        </w:rPr>
        <w:t xml:space="preserve"> (</w:t>
      </w:r>
      <w:r w:rsidR="009A1096">
        <w:rPr>
          <w:b/>
          <w:bCs/>
          <w:sz w:val="23"/>
          <w:szCs w:val="23"/>
        </w:rPr>
        <w:t>Reserve</w:t>
      </w:r>
      <w:r>
        <w:rPr>
          <w:b/>
          <w:bCs/>
          <w:sz w:val="23"/>
          <w:szCs w:val="23"/>
        </w:rPr>
        <w:t xml:space="preserve"> Rate)</w:t>
      </w:r>
    </w:p>
    <w:p w14:paraId="08B1F725" w14:textId="77777777" w:rsidR="00B90D98" w:rsidRPr="00177427" w:rsidRDefault="00177427" w:rsidP="00B90D98">
      <w:pPr>
        <w:pStyle w:val="Default"/>
        <w:rPr>
          <w:color w:val="auto"/>
          <w:sz w:val="23"/>
          <w:szCs w:val="23"/>
        </w:rPr>
      </w:pPr>
      <w:r w:rsidRPr="00177427">
        <w:rPr>
          <w:color w:val="auto"/>
          <w:sz w:val="23"/>
          <w:szCs w:val="23"/>
        </w:rPr>
        <w:t>28p per mile</w:t>
      </w:r>
    </w:p>
    <w:p w14:paraId="2E62FEA4" w14:textId="77777777" w:rsidR="00B90D98" w:rsidRDefault="00B90D98" w:rsidP="00B90D98">
      <w:pPr>
        <w:pStyle w:val="Default"/>
        <w:rPr>
          <w:b/>
          <w:bCs/>
          <w:sz w:val="23"/>
          <w:szCs w:val="23"/>
        </w:rPr>
      </w:pPr>
    </w:p>
    <w:p w14:paraId="26CF95E6" w14:textId="77777777" w:rsidR="00B90D98" w:rsidRDefault="00B90D98" w:rsidP="00B90D98">
      <w:pPr>
        <w:pStyle w:val="Default"/>
        <w:rPr>
          <w:b/>
          <w:bCs/>
          <w:sz w:val="23"/>
          <w:szCs w:val="23"/>
        </w:rPr>
      </w:pPr>
      <w:r>
        <w:rPr>
          <w:b/>
          <w:bCs/>
          <w:sz w:val="23"/>
          <w:szCs w:val="23"/>
        </w:rPr>
        <w:t>Pedal Cycles</w:t>
      </w:r>
    </w:p>
    <w:p w14:paraId="04B65480" w14:textId="77777777" w:rsidR="00B90D98" w:rsidRPr="00177427" w:rsidRDefault="00177427" w:rsidP="00B90D98">
      <w:pPr>
        <w:pStyle w:val="Default"/>
        <w:rPr>
          <w:color w:val="auto"/>
          <w:sz w:val="23"/>
          <w:szCs w:val="23"/>
        </w:rPr>
      </w:pPr>
      <w:r w:rsidRPr="00177427">
        <w:rPr>
          <w:color w:val="auto"/>
          <w:sz w:val="23"/>
          <w:szCs w:val="23"/>
        </w:rPr>
        <w:lastRenderedPageBreak/>
        <w:t>20p per mile</w:t>
      </w:r>
    </w:p>
    <w:p w14:paraId="61D471F6" w14:textId="77777777" w:rsidR="00B90D98" w:rsidRDefault="00B90D98" w:rsidP="00B90D98">
      <w:pPr>
        <w:pStyle w:val="Default"/>
        <w:rPr>
          <w:b/>
          <w:bCs/>
          <w:sz w:val="23"/>
          <w:szCs w:val="23"/>
        </w:rPr>
      </w:pPr>
    </w:p>
    <w:p w14:paraId="2E24E4CD" w14:textId="77777777" w:rsidR="00B90D98" w:rsidRDefault="00B90D98" w:rsidP="00B90D98">
      <w:pPr>
        <w:pStyle w:val="Default"/>
        <w:rPr>
          <w:b/>
          <w:bCs/>
          <w:sz w:val="23"/>
          <w:szCs w:val="23"/>
        </w:rPr>
      </w:pPr>
      <w:r>
        <w:rPr>
          <w:b/>
          <w:bCs/>
          <w:sz w:val="23"/>
          <w:szCs w:val="23"/>
        </w:rPr>
        <w:t>Passenger Allowances</w:t>
      </w:r>
    </w:p>
    <w:p w14:paraId="586A5EAB" w14:textId="77777777" w:rsidR="00B90D98" w:rsidRPr="00B90D98" w:rsidRDefault="00B90D98" w:rsidP="00B90D98">
      <w:pPr>
        <w:pStyle w:val="Default"/>
        <w:rPr>
          <w:color w:val="auto"/>
          <w:sz w:val="23"/>
          <w:szCs w:val="23"/>
        </w:rPr>
      </w:pPr>
      <w:r w:rsidRPr="00B90D98">
        <w:rPr>
          <w:color w:val="auto"/>
          <w:sz w:val="23"/>
          <w:szCs w:val="23"/>
        </w:rPr>
        <w:t>5p per mile</w:t>
      </w:r>
    </w:p>
    <w:p w14:paraId="03BEA9EE" w14:textId="77777777" w:rsidR="00B90D98" w:rsidRPr="00B90D98" w:rsidRDefault="00B90D98" w:rsidP="00B90D98">
      <w:pPr>
        <w:pStyle w:val="Default"/>
        <w:rPr>
          <w:color w:val="auto"/>
          <w:sz w:val="23"/>
          <w:szCs w:val="23"/>
        </w:rPr>
      </w:pPr>
      <w:r w:rsidRPr="00B90D98">
        <w:rPr>
          <w:color w:val="auto"/>
          <w:sz w:val="23"/>
          <w:szCs w:val="23"/>
        </w:rPr>
        <w:t>Claimable when an individual member agrees to allow a colleague to accompany them in their private vehicle</w:t>
      </w:r>
    </w:p>
    <w:p w14:paraId="4489C0D7" w14:textId="77777777" w:rsidR="00B90D98" w:rsidRPr="00B90D98" w:rsidRDefault="00B90D98" w:rsidP="00B90D98">
      <w:pPr>
        <w:pStyle w:val="Default"/>
        <w:rPr>
          <w:b/>
          <w:bCs/>
          <w:sz w:val="23"/>
          <w:szCs w:val="23"/>
        </w:rPr>
      </w:pPr>
    </w:p>
    <w:p w14:paraId="73B7C67A" w14:textId="77777777" w:rsidR="00F81601" w:rsidRDefault="00F81601" w:rsidP="00907F7F">
      <w:pPr>
        <w:pStyle w:val="Paragraphnonumbers"/>
        <w:rPr>
          <w:b/>
          <w:sz w:val="32"/>
          <w:szCs w:val="32"/>
        </w:rPr>
      </w:pPr>
    </w:p>
    <w:p w14:paraId="6C46365F" w14:textId="77777777" w:rsidR="00F81601" w:rsidRDefault="00F81601" w:rsidP="00907F7F">
      <w:pPr>
        <w:pStyle w:val="Paragraphnonumbers"/>
        <w:rPr>
          <w:b/>
          <w:sz w:val="32"/>
          <w:szCs w:val="32"/>
        </w:rPr>
      </w:pPr>
    </w:p>
    <w:p w14:paraId="5CA0C4AF" w14:textId="77777777" w:rsidR="00F81601" w:rsidRPr="00F81601" w:rsidRDefault="00F81601" w:rsidP="00F81601">
      <w:pPr>
        <w:pStyle w:val="Default"/>
        <w:rPr>
          <w:color w:val="auto"/>
          <w:sz w:val="23"/>
          <w:szCs w:val="23"/>
        </w:rPr>
      </w:pPr>
    </w:p>
    <w:sectPr w:rsidR="00F81601" w:rsidRPr="00F81601" w:rsidSect="0017149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909DE" w14:textId="77777777" w:rsidR="00E67E91" w:rsidRDefault="00E67E91" w:rsidP="00446BEE">
      <w:r>
        <w:separator/>
      </w:r>
    </w:p>
  </w:endnote>
  <w:endnote w:type="continuationSeparator" w:id="0">
    <w:p w14:paraId="0C558213" w14:textId="77777777" w:rsidR="00E67E91" w:rsidRDefault="00E67E91"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23A5F" w14:textId="77777777" w:rsidR="005F0ACB" w:rsidRDefault="005F0ACB">
    <w:pPr>
      <w:pStyle w:val="Footer"/>
    </w:pPr>
    <w:r>
      <w:t>Non-Staff Expenses Policy and Procedure</w:t>
    </w:r>
    <w:r>
      <w:tab/>
    </w:r>
    <w:r>
      <w:tab/>
    </w:r>
    <w:r>
      <w:fldChar w:fldCharType="begin"/>
    </w:r>
    <w:r>
      <w:instrText xml:space="preserve"> PAGE </w:instrText>
    </w:r>
    <w:r>
      <w:fldChar w:fldCharType="separate"/>
    </w:r>
    <w:r w:rsidR="00743D3D">
      <w:rPr>
        <w:noProof/>
      </w:rPr>
      <w:t>1</w:t>
    </w:r>
    <w:r>
      <w:fldChar w:fldCharType="end"/>
    </w:r>
    <w:r>
      <w:t xml:space="preserve"> of </w:t>
    </w:r>
    <w:r w:rsidR="004646FF">
      <w:rPr>
        <w:noProof/>
      </w:rPr>
      <w:fldChar w:fldCharType="begin"/>
    </w:r>
    <w:r w:rsidR="004646FF">
      <w:rPr>
        <w:noProof/>
      </w:rPr>
      <w:instrText xml:space="preserve"> NUMPAGES  </w:instrText>
    </w:r>
    <w:r w:rsidR="004646FF">
      <w:rPr>
        <w:noProof/>
      </w:rPr>
      <w:fldChar w:fldCharType="separate"/>
    </w:r>
    <w:r w:rsidR="00743D3D">
      <w:rPr>
        <w:noProof/>
      </w:rPr>
      <w:t>17</w:t>
    </w:r>
    <w:r w:rsidR="004646FF">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1381" w14:textId="77777777" w:rsidR="00E67E91" w:rsidRDefault="00E67E91" w:rsidP="00446BEE">
      <w:r>
        <w:separator/>
      </w:r>
    </w:p>
  </w:footnote>
  <w:footnote w:type="continuationSeparator" w:id="0">
    <w:p w14:paraId="715E553E" w14:textId="77777777" w:rsidR="00E67E91" w:rsidRDefault="00E67E91"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797"/>
    <w:multiLevelType w:val="hybridMultilevel"/>
    <w:tmpl w:val="BE0ED568"/>
    <w:lvl w:ilvl="0" w:tplc="A0BA76A0">
      <w:start w:val="1"/>
      <w:numFmt w:val="decimal"/>
      <w:pStyle w:val="Paragraph"/>
      <w:lvlText w:val="%1."/>
      <w:lvlJc w:val="left"/>
      <w:pPr>
        <w:ind w:left="482" w:hanging="34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BF5500"/>
    <w:multiLevelType w:val="hybridMultilevel"/>
    <w:tmpl w:val="7586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04FD6"/>
    <w:multiLevelType w:val="multilevel"/>
    <w:tmpl w:val="F33E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C12"/>
    <w:rsid w:val="000053F8"/>
    <w:rsid w:val="00007EC2"/>
    <w:rsid w:val="00010565"/>
    <w:rsid w:val="000110D6"/>
    <w:rsid w:val="00012DDA"/>
    <w:rsid w:val="00013D34"/>
    <w:rsid w:val="00016979"/>
    <w:rsid w:val="000221D4"/>
    <w:rsid w:val="00024B1D"/>
    <w:rsid w:val="00024D0A"/>
    <w:rsid w:val="0004327E"/>
    <w:rsid w:val="000472DC"/>
    <w:rsid w:val="00054DAE"/>
    <w:rsid w:val="00061CC6"/>
    <w:rsid w:val="00062B0B"/>
    <w:rsid w:val="00062CFA"/>
    <w:rsid w:val="00064385"/>
    <w:rsid w:val="00070065"/>
    <w:rsid w:val="00087D90"/>
    <w:rsid w:val="000A45C6"/>
    <w:rsid w:val="000A4FEE"/>
    <w:rsid w:val="000A5DA0"/>
    <w:rsid w:val="000A6BBC"/>
    <w:rsid w:val="000A6DB1"/>
    <w:rsid w:val="000B439F"/>
    <w:rsid w:val="000B5939"/>
    <w:rsid w:val="000C4787"/>
    <w:rsid w:val="000C5BF5"/>
    <w:rsid w:val="000D25C2"/>
    <w:rsid w:val="000E0394"/>
    <w:rsid w:val="000E2B62"/>
    <w:rsid w:val="000E4E93"/>
    <w:rsid w:val="000E60DE"/>
    <w:rsid w:val="000E6E5D"/>
    <w:rsid w:val="000F1577"/>
    <w:rsid w:val="001014E6"/>
    <w:rsid w:val="00101CCE"/>
    <w:rsid w:val="00111CCE"/>
    <w:rsid w:val="001134E7"/>
    <w:rsid w:val="00116330"/>
    <w:rsid w:val="00122962"/>
    <w:rsid w:val="001245A8"/>
    <w:rsid w:val="00125EEB"/>
    <w:rsid w:val="00136386"/>
    <w:rsid w:val="00136DFC"/>
    <w:rsid w:val="0014012B"/>
    <w:rsid w:val="001415BE"/>
    <w:rsid w:val="00156390"/>
    <w:rsid w:val="001572D0"/>
    <w:rsid w:val="0016310E"/>
    <w:rsid w:val="001644A4"/>
    <w:rsid w:val="001652AA"/>
    <w:rsid w:val="0017149E"/>
    <w:rsid w:val="0017169E"/>
    <w:rsid w:val="00172FC5"/>
    <w:rsid w:val="00177427"/>
    <w:rsid w:val="00181A4A"/>
    <w:rsid w:val="001826BC"/>
    <w:rsid w:val="001851FE"/>
    <w:rsid w:val="001A7F5E"/>
    <w:rsid w:val="001B0EE9"/>
    <w:rsid w:val="001B65B3"/>
    <w:rsid w:val="001C0E0E"/>
    <w:rsid w:val="001C1E46"/>
    <w:rsid w:val="001C2708"/>
    <w:rsid w:val="001E1954"/>
    <w:rsid w:val="001E4BF6"/>
    <w:rsid w:val="001F37A5"/>
    <w:rsid w:val="001F43BF"/>
    <w:rsid w:val="001F4F0C"/>
    <w:rsid w:val="001F6F1F"/>
    <w:rsid w:val="002029A6"/>
    <w:rsid w:val="002107A4"/>
    <w:rsid w:val="00210FD8"/>
    <w:rsid w:val="0022495B"/>
    <w:rsid w:val="00231FE5"/>
    <w:rsid w:val="00237235"/>
    <w:rsid w:val="00237A15"/>
    <w:rsid w:val="002408EA"/>
    <w:rsid w:val="0024588F"/>
    <w:rsid w:val="0024601C"/>
    <w:rsid w:val="00252331"/>
    <w:rsid w:val="00253879"/>
    <w:rsid w:val="00267D01"/>
    <w:rsid w:val="0027437F"/>
    <w:rsid w:val="00274FFD"/>
    <w:rsid w:val="0027743C"/>
    <w:rsid w:val="0027766C"/>
    <w:rsid w:val="002819D7"/>
    <w:rsid w:val="00286789"/>
    <w:rsid w:val="0028782D"/>
    <w:rsid w:val="00290CB3"/>
    <w:rsid w:val="002917ED"/>
    <w:rsid w:val="002B017F"/>
    <w:rsid w:val="002B22DC"/>
    <w:rsid w:val="002B3050"/>
    <w:rsid w:val="002C1A7E"/>
    <w:rsid w:val="002D3376"/>
    <w:rsid w:val="002D3E58"/>
    <w:rsid w:val="002D49E9"/>
    <w:rsid w:val="002E6892"/>
    <w:rsid w:val="003046C7"/>
    <w:rsid w:val="00311ED0"/>
    <w:rsid w:val="003225FB"/>
    <w:rsid w:val="00324C48"/>
    <w:rsid w:val="003252B1"/>
    <w:rsid w:val="00325982"/>
    <w:rsid w:val="00326114"/>
    <w:rsid w:val="00327C68"/>
    <w:rsid w:val="00334501"/>
    <w:rsid w:val="003413AD"/>
    <w:rsid w:val="00341D63"/>
    <w:rsid w:val="003464AA"/>
    <w:rsid w:val="00351085"/>
    <w:rsid w:val="003564A3"/>
    <w:rsid w:val="003648C5"/>
    <w:rsid w:val="00365A4D"/>
    <w:rsid w:val="003722FA"/>
    <w:rsid w:val="00377F6F"/>
    <w:rsid w:val="00383D77"/>
    <w:rsid w:val="0038491C"/>
    <w:rsid w:val="003C2ECF"/>
    <w:rsid w:val="003C72CF"/>
    <w:rsid w:val="003C7AAF"/>
    <w:rsid w:val="003E0A5B"/>
    <w:rsid w:val="003E55B4"/>
    <w:rsid w:val="003E62E1"/>
    <w:rsid w:val="003E630C"/>
    <w:rsid w:val="003E72EB"/>
    <w:rsid w:val="003F14D0"/>
    <w:rsid w:val="003F4B7D"/>
    <w:rsid w:val="003F6813"/>
    <w:rsid w:val="00407396"/>
    <w:rsid w:val="004075B6"/>
    <w:rsid w:val="00407783"/>
    <w:rsid w:val="00420952"/>
    <w:rsid w:val="00421B26"/>
    <w:rsid w:val="00430AC4"/>
    <w:rsid w:val="00433EFF"/>
    <w:rsid w:val="00443081"/>
    <w:rsid w:val="00446BEE"/>
    <w:rsid w:val="0044753A"/>
    <w:rsid w:val="004502C5"/>
    <w:rsid w:val="004646FF"/>
    <w:rsid w:val="00464D54"/>
    <w:rsid w:val="00466786"/>
    <w:rsid w:val="00473601"/>
    <w:rsid w:val="00473D71"/>
    <w:rsid w:val="004806E2"/>
    <w:rsid w:val="00483000"/>
    <w:rsid w:val="0048340F"/>
    <w:rsid w:val="00486202"/>
    <w:rsid w:val="00486610"/>
    <w:rsid w:val="004871A6"/>
    <w:rsid w:val="00491BF8"/>
    <w:rsid w:val="00496D2D"/>
    <w:rsid w:val="004A1C61"/>
    <w:rsid w:val="004A6D22"/>
    <w:rsid w:val="004B269C"/>
    <w:rsid w:val="004B3BAC"/>
    <w:rsid w:val="004B772F"/>
    <w:rsid w:val="004C1CBE"/>
    <w:rsid w:val="004C36FC"/>
    <w:rsid w:val="004E2276"/>
    <w:rsid w:val="004F0FD7"/>
    <w:rsid w:val="004F1E74"/>
    <w:rsid w:val="004F6A87"/>
    <w:rsid w:val="004F7590"/>
    <w:rsid w:val="004F7DD9"/>
    <w:rsid w:val="005025A1"/>
    <w:rsid w:val="0051231F"/>
    <w:rsid w:val="00516164"/>
    <w:rsid w:val="00516F38"/>
    <w:rsid w:val="00517885"/>
    <w:rsid w:val="00520AEA"/>
    <w:rsid w:val="00521BC6"/>
    <w:rsid w:val="005233CF"/>
    <w:rsid w:val="00525F54"/>
    <w:rsid w:val="005277AB"/>
    <w:rsid w:val="00533A5C"/>
    <w:rsid w:val="0053421C"/>
    <w:rsid w:val="0053626D"/>
    <w:rsid w:val="00545B94"/>
    <w:rsid w:val="00554A75"/>
    <w:rsid w:val="0056519C"/>
    <w:rsid w:val="00575603"/>
    <w:rsid w:val="00593C89"/>
    <w:rsid w:val="005A0B7E"/>
    <w:rsid w:val="005A6CE7"/>
    <w:rsid w:val="005B455E"/>
    <w:rsid w:val="005C68E5"/>
    <w:rsid w:val="005D1CDD"/>
    <w:rsid w:val="005E0E62"/>
    <w:rsid w:val="005E28CE"/>
    <w:rsid w:val="005F0ACB"/>
    <w:rsid w:val="00610117"/>
    <w:rsid w:val="006320E7"/>
    <w:rsid w:val="006353E8"/>
    <w:rsid w:val="0064730A"/>
    <w:rsid w:val="00647B23"/>
    <w:rsid w:val="006524D5"/>
    <w:rsid w:val="0065593C"/>
    <w:rsid w:val="006574C2"/>
    <w:rsid w:val="00657EA3"/>
    <w:rsid w:val="00660AFC"/>
    <w:rsid w:val="00672A40"/>
    <w:rsid w:val="0067325B"/>
    <w:rsid w:val="006766FE"/>
    <w:rsid w:val="00681FA2"/>
    <w:rsid w:val="0068321D"/>
    <w:rsid w:val="0068344F"/>
    <w:rsid w:val="00685AEA"/>
    <w:rsid w:val="0069072B"/>
    <w:rsid w:val="006921E1"/>
    <w:rsid w:val="00692F56"/>
    <w:rsid w:val="006C3E0C"/>
    <w:rsid w:val="006C69D8"/>
    <w:rsid w:val="006D0E50"/>
    <w:rsid w:val="006E6D28"/>
    <w:rsid w:val="006F049A"/>
    <w:rsid w:val="006F113C"/>
    <w:rsid w:val="006F116C"/>
    <w:rsid w:val="006F2F93"/>
    <w:rsid w:val="006F4B25"/>
    <w:rsid w:val="006F6496"/>
    <w:rsid w:val="00712CBB"/>
    <w:rsid w:val="00725569"/>
    <w:rsid w:val="0073040F"/>
    <w:rsid w:val="00731EC3"/>
    <w:rsid w:val="007347C3"/>
    <w:rsid w:val="00736348"/>
    <w:rsid w:val="00743D3D"/>
    <w:rsid w:val="00754F48"/>
    <w:rsid w:val="00756DDD"/>
    <w:rsid w:val="00757D5E"/>
    <w:rsid w:val="00760908"/>
    <w:rsid w:val="00765B2C"/>
    <w:rsid w:val="00765DF5"/>
    <w:rsid w:val="00772F9C"/>
    <w:rsid w:val="007759D0"/>
    <w:rsid w:val="00775DAF"/>
    <w:rsid w:val="00784189"/>
    <w:rsid w:val="00785F51"/>
    <w:rsid w:val="00793857"/>
    <w:rsid w:val="00794571"/>
    <w:rsid w:val="00795A9E"/>
    <w:rsid w:val="007A5402"/>
    <w:rsid w:val="007A5EAC"/>
    <w:rsid w:val="007C2D9E"/>
    <w:rsid w:val="007C3F23"/>
    <w:rsid w:val="007E2286"/>
    <w:rsid w:val="007E3AF9"/>
    <w:rsid w:val="007E6E96"/>
    <w:rsid w:val="007F238D"/>
    <w:rsid w:val="007F36F0"/>
    <w:rsid w:val="00807518"/>
    <w:rsid w:val="00810F2A"/>
    <w:rsid w:val="0081591A"/>
    <w:rsid w:val="0081687E"/>
    <w:rsid w:val="0082186F"/>
    <w:rsid w:val="008265A1"/>
    <w:rsid w:val="00827318"/>
    <w:rsid w:val="0083630E"/>
    <w:rsid w:val="00837077"/>
    <w:rsid w:val="008438AF"/>
    <w:rsid w:val="00856017"/>
    <w:rsid w:val="00861B92"/>
    <w:rsid w:val="008658D9"/>
    <w:rsid w:val="00866BBA"/>
    <w:rsid w:val="00875DEA"/>
    <w:rsid w:val="008814FB"/>
    <w:rsid w:val="00883722"/>
    <w:rsid w:val="00883942"/>
    <w:rsid w:val="00885FED"/>
    <w:rsid w:val="008866A5"/>
    <w:rsid w:val="00891DFC"/>
    <w:rsid w:val="008A73FE"/>
    <w:rsid w:val="008A7694"/>
    <w:rsid w:val="008B5C9A"/>
    <w:rsid w:val="008B6394"/>
    <w:rsid w:val="008C04B3"/>
    <w:rsid w:val="008C468E"/>
    <w:rsid w:val="008C527D"/>
    <w:rsid w:val="008C6338"/>
    <w:rsid w:val="008D037E"/>
    <w:rsid w:val="008D7E5C"/>
    <w:rsid w:val="008E7DF6"/>
    <w:rsid w:val="008F4134"/>
    <w:rsid w:val="008F5450"/>
    <w:rsid w:val="008F5E30"/>
    <w:rsid w:val="008F67B3"/>
    <w:rsid w:val="008F6F1D"/>
    <w:rsid w:val="008F7E73"/>
    <w:rsid w:val="00907986"/>
    <w:rsid w:val="00907F7F"/>
    <w:rsid w:val="00912AEF"/>
    <w:rsid w:val="00914D7F"/>
    <w:rsid w:val="00926A03"/>
    <w:rsid w:val="00926D22"/>
    <w:rsid w:val="009326BB"/>
    <w:rsid w:val="009328B4"/>
    <w:rsid w:val="00937AD9"/>
    <w:rsid w:val="00957BD3"/>
    <w:rsid w:val="00960707"/>
    <w:rsid w:val="009A1096"/>
    <w:rsid w:val="009A5250"/>
    <w:rsid w:val="009B22C3"/>
    <w:rsid w:val="009B5DE4"/>
    <w:rsid w:val="009C6B94"/>
    <w:rsid w:val="009D7670"/>
    <w:rsid w:val="009E1FE5"/>
    <w:rsid w:val="009E2A5C"/>
    <w:rsid w:val="009E680B"/>
    <w:rsid w:val="009E7958"/>
    <w:rsid w:val="009F3407"/>
    <w:rsid w:val="009F4C4D"/>
    <w:rsid w:val="009F5D66"/>
    <w:rsid w:val="00A1582B"/>
    <w:rsid w:val="00A15A1F"/>
    <w:rsid w:val="00A16ED6"/>
    <w:rsid w:val="00A177AE"/>
    <w:rsid w:val="00A26A85"/>
    <w:rsid w:val="00A3325A"/>
    <w:rsid w:val="00A43013"/>
    <w:rsid w:val="00A54CA0"/>
    <w:rsid w:val="00A5726C"/>
    <w:rsid w:val="00A632CF"/>
    <w:rsid w:val="00A65424"/>
    <w:rsid w:val="00A665BF"/>
    <w:rsid w:val="00A84AA3"/>
    <w:rsid w:val="00AB1326"/>
    <w:rsid w:val="00AE0A81"/>
    <w:rsid w:val="00AF108A"/>
    <w:rsid w:val="00AF3329"/>
    <w:rsid w:val="00B02E55"/>
    <w:rsid w:val="00B02EDF"/>
    <w:rsid w:val="00B036C1"/>
    <w:rsid w:val="00B13112"/>
    <w:rsid w:val="00B15846"/>
    <w:rsid w:val="00B206AF"/>
    <w:rsid w:val="00B33C12"/>
    <w:rsid w:val="00B40427"/>
    <w:rsid w:val="00B4062C"/>
    <w:rsid w:val="00B44CC1"/>
    <w:rsid w:val="00B46580"/>
    <w:rsid w:val="00B5431F"/>
    <w:rsid w:val="00B805ED"/>
    <w:rsid w:val="00B80A9B"/>
    <w:rsid w:val="00B81E7A"/>
    <w:rsid w:val="00B8309A"/>
    <w:rsid w:val="00B86827"/>
    <w:rsid w:val="00B86B8F"/>
    <w:rsid w:val="00B90D98"/>
    <w:rsid w:val="00B91A3C"/>
    <w:rsid w:val="00B9250F"/>
    <w:rsid w:val="00B95D4C"/>
    <w:rsid w:val="00BA2C5F"/>
    <w:rsid w:val="00BB06B6"/>
    <w:rsid w:val="00BB1F91"/>
    <w:rsid w:val="00BC0FCC"/>
    <w:rsid w:val="00BC1320"/>
    <w:rsid w:val="00BC3BAB"/>
    <w:rsid w:val="00BD0F2F"/>
    <w:rsid w:val="00BD5F70"/>
    <w:rsid w:val="00BE4C8A"/>
    <w:rsid w:val="00BE7133"/>
    <w:rsid w:val="00BF3062"/>
    <w:rsid w:val="00BF7FE0"/>
    <w:rsid w:val="00C1123F"/>
    <w:rsid w:val="00C171F7"/>
    <w:rsid w:val="00C22027"/>
    <w:rsid w:val="00C224E8"/>
    <w:rsid w:val="00C240F8"/>
    <w:rsid w:val="00C3058C"/>
    <w:rsid w:val="00C34A69"/>
    <w:rsid w:val="00C42293"/>
    <w:rsid w:val="00C55229"/>
    <w:rsid w:val="00C72FA8"/>
    <w:rsid w:val="00C777A6"/>
    <w:rsid w:val="00C81104"/>
    <w:rsid w:val="00C8336E"/>
    <w:rsid w:val="00C84338"/>
    <w:rsid w:val="00C872DC"/>
    <w:rsid w:val="00C96411"/>
    <w:rsid w:val="00CA2457"/>
    <w:rsid w:val="00CB37F2"/>
    <w:rsid w:val="00CB5671"/>
    <w:rsid w:val="00CC1A54"/>
    <w:rsid w:val="00CC4D38"/>
    <w:rsid w:val="00CC6DAE"/>
    <w:rsid w:val="00CD36A2"/>
    <w:rsid w:val="00CE1B83"/>
    <w:rsid w:val="00CE2B81"/>
    <w:rsid w:val="00CE49EC"/>
    <w:rsid w:val="00CE6D7A"/>
    <w:rsid w:val="00CF58B7"/>
    <w:rsid w:val="00CF608A"/>
    <w:rsid w:val="00D03762"/>
    <w:rsid w:val="00D054D8"/>
    <w:rsid w:val="00D05F0E"/>
    <w:rsid w:val="00D173B2"/>
    <w:rsid w:val="00D17CED"/>
    <w:rsid w:val="00D20033"/>
    <w:rsid w:val="00D20763"/>
    <w:rsid w:val="00D24A82"/>
    <w:rsid w:val="00D34119"/>
    <w:rsid w:val="00D351C1"/>
    <w:rsid w:val="00D35EFB"/>
    <w:rsid w:val="00D40505"/>
    <w:rsid w:val="00D41372"/>
    <w:rsid w:val="00D41FFF"/>
    <w:rsid w:val="00D42AD6"/>
    <w:rsid w:val="00D46AE4"/>
    <w:rsid w:val="00D479EC"/>
    <w:rsid w:val="00D504B3"/>
    <w:rsid w:val="00D556CB"/>
    <w:rsid w:val="00D648D6"/>
    <w:rsid w:val="00D71602"/>
    <w:rsid w:val="00D7293F"/>
    <w:rsid w:val="00D73A05"/>
    <w:rsid w:val="00D80E81"/>
    <w:rsid w:val="00D83B40"/>
    <w:rsid w:val="00D83D3D"/>
    <w:rsid w:val="00D8628B"/>
    <w:rsid w:val="00D86BF0"/>
    <w:rsid w:val="00D87EA6"/>
    <w:rsid w:val="00D97FBD"/>
    <w:rsid w:val="00DA0FE2"/>
    <w:rsid w:val="00DB6CBD"/>
    <w:rsid w:val="00DF276A"/>
    <w:rsid w:val="00E00E24"/>
    <w:rsid w:val="00E01458"/>
    <w:rsid w:val="00E078AA"/>
    <w:rsid w:val="00E26A6C"/>
    <w:rsid w:val="00E3600F"/>
    <w:rsid w:val="00E51920"/>
    <w:rsid w:val="00E54F0F"/>
    <w:rsid w:val="00E6104C"/>
    <w:rsid w:val="00E634AA"/>
    <w:rsid w:val="00E64120"/>
    <w:rsid w:val="00E660A1"/>
    <w:rsid w:val="00E67E91"/>
    <w:rsid w:val="00E75000"/>
    <w:rsid w:val="00E7634E"/>
    <w:rsid w:val="00E85444"/>
    <w:rsid w:val="00E9133A"/>
    <w:rsid w:val="00E91713"/>
    <w:rsid w:val="00E96B64"/>
    <w:rsid w:val="00E96DD2"/>
    <w:rsid w:val="00EA0320"/>
    <w:rsid w:val="00EA3CCF"/>
    <w:rsid w:val="00EB0494"/>
    <w:rsid w:val="00EB73C5"/>
    <w:rsid w:val="00EC3588"/>
    <w:rsid w:val="00EC42B0"/>
    <w:rsid w:val="00ED3AFB"/>
    <w:rsid w:val="00EF4488"/>
    <w:rsid w:val="00EF72D0"/>
    <w:rsid w:val="00F03D8B"/>
    <w:rsid w:val="00F04851"/>
    <w:rsid w:val="00F04EBF"/>
    <w:rsid w:val="00F055F1"/>
    <w:rsid w:val="00F05E8F"/>
    <w:rsid w:val="00F112E2"/>
    <w:rsid w:val="00F13916"/>
    <w:rsid w:val="00F13C7A"/>
    <w:rsid w:val="00F1488B"/>
    <w:rsid w:val="00F15EFE"/>
    <w:rsid w:val="00F17326"/>
    <w:rsid w:val="00F36A83"/>
    <w:rsid w:val="00F41AEE"/>
    <w:rsid w:val="00F4615E"/>
    <w:rsid w:val="00F47D49"/>
    <w:rsid w:val="00F54620"/>
    <w:rsid w:val="00F56715"/>
    <w:rsid w:val="00F610AF"/>
    <w:rsid w:val="00F67DF9"/>
    <w:rsid w:val="00F81042"/>
    <w:rsid w:val="00F81601"/>
    <w:rsid w:val="00F92360"/>
    <w:rsid w:val="00F96B97"/>
    <w:rsid w:val="00FA1AC4"/>
    <w:rsid w:val="00FA2C5A"/>
    <w:rsid w:val="00FA54B3"/>
    <w:rsid w:val="00FA562E"/>
    <w:rsid w:val="00FA613C"/>
    <w:rsid w:val="00FA6AAB"/>
    <w:rsid w:val="00FB6986"/>
    <w:rsid w:val="00FC2D11"/>
    <w:rsid w:val="00FC3EC3"/>
    <w:rsid w:val="00FC6230"/>
    <w:rsid w:val="00FD23DF"/>
    <w:rsid w:val="00FD7A20"/>
    <w:rsid w:val="00FE0725"/>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AD290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uiPriority="1" w:qFormat="1"/>
    <w:lsdException w:name="heading 2" w:semiHidden="1" w:uiPriority="2" w:qFormat="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F610AF"/>
    <w:rPr>
      <w:sz w:val="24"/>
      <w:szCs w:val="24"/>
    </w:rPr>
  </w:style>
  <w:style w:type="paragraph" w:styleId="Heading1">
    <w:name w:val="heading 1"/>
    <w:basedOn w:val="Normal"/>
    <w:next w:val="Paragraphnonumbers"/>
    <w:link w:val="Heading1Char"/>
    <w:uiPriority w:val="1"/>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624"/>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uiPriority w:val="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uiPriority w:val="39"/>
    <w:rsid w:val="00CC6DAE"/>
    <w:pPr>
      <w:tabs>
        <w:tab w:val="right" w:leader="dot" w:pos="9016"/>
      </w:tabs>
    </w:pPr>
    <w:rPr>
      <w:rFonts w:ascii="Arial" w:hAnsi="Arial"/>
    </w:rPr>
  </w:style>
  <w:style w:type="paragraph" w:styleId="TOC2">
    <w:name w:val="toc 2"/>
    <w:basedOn w:val="Normal"/>
    <w:next w:val="Normal"/>
    <w:autoRedefine/>
    <w:uiPriority w:val="39"/>
    <w:rsid w:val="00F610AF"/>
    <w:pPr>
      <w:ind w:left="240"/>
    </w:pPr>
    <w:rPr>
      <w:rFonts w:ascii="Arial" w:hAnsi="Arial"/>
    </w:rPr>
  </w:style>
  <w:style w:type="paragraph" w:styleId="TOC3">
    <w:name w:val="toc 3"/>
    <w:basedOn w:val="Normal"/>
    <w:next w:val="Normal"/>
    <w:autoRedefine/>
    <w:uiPriority w:val="39"/>
    <w:rsid w:val="00BE4C8A"/>
    <w:pPr>
      <w:tabs>
        <w:tab w:val="right" w:leader="dot" w:pos="9016"/>
      </w:tabs>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character" w:styleId="CommentReference">
    <w:name w:val="annotation reference"/>
    <w:basedOn w:val="DefaultParagraphFont"/>
    <w:semiHidden/>
    <w:unhideWhenUsed/>
    <w:rsid w:val="00907F7F"/>
    <w:rPr>
      <w:sz w:val="16"/>
      <w:szCs w:val="16"/>
    </w:rPr>
  </w:style>
  <w:style w:type="paragraph" w:styleId="CommentText">
    <w:name w:val="annotation text"/>
    <w:basedOn w:val="Normal"/>
    <w:link w:val="CommentTextChar"/>
    <w:unhideWhenUsed/>
    <w:rsid w:val="00907F7F"/>
    <w:rPr>
      <w:sz w:val="20"/>
      <w:szCs w:val="20"/>
    </w:rPr>
  </w:style>
  <w:style w:type="character" w:customStyle="1" w:styleId="CommentTextChar">
    <w:name w:val="Comment Text Char"/>
    <w:basedOn w:val="DefaultParagraphFont"/>
    <w:link w:val="CommentText"/>
    <w:rsid w:val="00907F7F"/>
  </w:style>
  <w:style w:type="paragraph" w:styleId="CommentSubject">
    <w:name w:val="annotation subject"/>
    <w:basedOn w:val="CommentText"/>
    <w:next w:val="CommentText"/>
    <w:link w:val="CommentSubjectChar"/>
    <w:semiHidden/>
    <w:unhideWhenUsed/>
    <w:rsid w:val="00907F7F"/>
    <w:rPr>
      <w:b/>
      <w:bCs/>
    </w:rPr>
  </w:style>
  <w:style w:type="character" w:customStyle="1" w:styleId="CommentSubjectChar">
    <w:name w:val="Comment Subject Char"/>
    <w:basedOn w:val="CommentTextChar"/>
    <w:link w:val="CommentSubject"/>
    <w:semiHidden/>
    <w:rsid w:val="00907F7F"/>
    <w:rPr>
      <w:b/>
      <w:bCs/>
    </w:rPr>
  </w:style>
  <w:style w:type="paragraph" w:customStyle="1" w:styleId="Default">
    <w:name w:val="Default"/>
    <w:rsid w:val="00907F7F"/>
    <w:pPr>
      <w:widowControl w:val="0"/>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BA2C5F"/>
    <w:rPr>
      <w:color w:val="0000FF" w:themeColor="hyperlink"/>
      <w:u w:val="single"/>
    </w:rPr>
  </w:style>
  <w:style w:type="paragraph" w:styleId="ListParagraph">
    <w:name w:val="List Paragraph"/>
    <w:basedOn w:val="Normal"/>
    <w:uiPriority w:val="34"/>
    <w:semiHidden/>
    <w:qFormat/>
    <w:rsid w:val="006524D5"/>
    <w:pPr>
      <w:ind w:left="720"/>
      <w:contextualSpacing/>
    </w:pPr>
  </w:style>
  <w:style w:type="paragraph" w:styleId="TOCHeading">
    <w:name w:val="TOC Heading"/>
    <w:basedOn w:val="Heading1"/>
    <w:next w:val="Normal"/>
    <w:uiPriority w:val="39"/>
    <w:unhideWhenUsed/>
    <w:qFormat/>
    <w:rsid w:val="008A73FE"/>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paragraph" w:styleId="Revision">
    <w:name w:val="Revision"/>
    <w:hidden/>
    <w:uiPriority w:val="99"/>
    <w:semiHidden/>
    <w:rsid w:val="000A5DA0"/>
    <w:rPr>
      <w:sz w:val="24"/>
      <w:szCs w:val="24"/>
    </w:rPr>
  </w:style>
  <w:style w:type="character" w:styleId="FollowedHyperlink">
    <w:name w:val="FollowedHyperlink"/>
    <w:basedOn w:val="DefaultParagraphFont"/>
    <w:semiHidden/>
    <w:unhideWhenUsed/>
    <w:rsid w:val="004F6A87"/>
    <w:rPr>
      <w:color w:val="800080" w:themeColor="followedHyperlink"/>
      <w:u w:val="single"/>
    </w:rPr>
  </w:style>
  <w:style w:type="paragraph" w:styleId="FootnoteText">
    <w:name w:val="footnote text"/>
    <w:basedOn w:val="Normal"/>
    <w:link w:val="FootnoteTextChar"/>
    <w:semiHidden/>
    <w:unhideWhenUsed/>
    <w:rsid w:val="00F4615E"/>
    <w:rPr>
      <w:sz w:val="20"/>
      <w:szCs w:val="20"/>
    </w:rPr>
  </w:style>
  <w:style w:type="character" w:customStyle="1" w:styleId="FootnoteTextChar">
    <w:name w:val="Footnote Text Char"/>
    <w:basedOn w:val="DefaultParagraphFont"/>
    <w:link w:val="FootnoteText"/>
    <w:semiHidden/>
    <w:rsid w:val="00F4615E"/>
  </w:style>
  <w:style w:type="character" w:styleId="FootnoteReference">
    <w:name w:val="footnote reference"/>
    <w:basedOn w:val="DefaultParagraphFont"/>
    <w:semiHidden/>
    <w:unhideWhenUsed/>
    <w:rsid w:val="00F4615E"/>
    <w:rPr>
      <w:vertAlign w:val="superscript"/>
    </w:rPr>
  </w:style>
  <w:style w:type="paragraph" w:styleId="NormalWeb">
    <w:name w:val="Normal (Web)"/>
    <w:basedOn w:val="Normal"/>
    <w:uiPriority w:val="99"/>
    <w:semiHidden/>
    <w:unhideWhenUsed/>
    <w:rsid w:val="00101CCE"/>
    <w:pPr>
      <w:spacing w:before="100" w:beforeAutospacing="1" w:after="100" w:afterAutospacing="1"/>
    </w:pPr>
  </w:style>
  <w:style w:type="table" w:styleId="TableGrid">
    <w:name w:val="Table Grid"/>
    <w:basedOn w:val="TableNormal"/>
    <w:rsid w:val="00F96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012D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012DD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12DD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012DDA"/>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3-Accent1">
    <w:name w:val="Grid Table 3 Accent 1"/>
    <w:basedOn w:val="TableNormal"/>
    <w:uiPriority w:val="48"/>
    <w:rsid w:val="00012DDA"/>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UnresolvedMention">
    <w:name w:val="Unresolved Mention"/>
    <w:basedOn w:val="DefaultParagraphFont"/>
    <w:uiPriority w:val="99"/>
    <w:semiHidden/>
    <w:unhideWhenUsed/>
    <w:rsid w:val="004736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25030">
      <w:bodyDiv w:val="1"/>
      <w:marLeft w:val="0"/>
      <w:marRight w:val="0"/>
      <w:marTop w:val="0"/>
      <w:marBottom w:val="0"/>
      <w:divBdr>
        <w:top w:val="none" w:sz="0" w:space="0" w:color="auto"/>
        <w:left w:val="none" w:sz="0" w:space="0" w:color="auto"/>
        <w:bottom w:val="none" w:sz="0" w:space="0" w:color="auto"/>
        <w:right w:val="none" w:sz="0" w:space="0" w:color="auto"/>
      </w:divBdr>
    </w:div>
    <w:div w:id="1442070316">
      <w:bodyDiv w:val="1"/>
      <w:marLeft w:val="0"/>
      <w:marRight w:val="0"/>
      <w:marTop w:val="0"/>
      <w:marBottom w:val="0"/>
      <w:divBdr>
        <w:top w:val="none" w:sz="0" w:space="0" w:color="auto"/>
        <w:left w:val="none" w:sz="0" w:space="0" w:color="auto"/>
        <w:bottom w:val="none" w:sz="0" w:space="0" w:color="auto"/>
        <w:right w:val="none" w:sz="0" w:space="0" w:color="auto"/>
      </w:divBdr>
    </w:div>
    <w:div w:id="1848864380">
      <w:bodyDiv w:val="1"/>
      <w:marLeft w:val="0"/>
      <w:marRight w:val="0"/>
      <w:marTop w:val="0"/>
      <w:marBottom w:val="0"/>
      <w:divBdr>
        <w:top w:val="none" w:sz="0" w:space="0" w:color="auto"/>
        <w:left w:val="none" w:sz="0" w:space="0" w:color="auto"/>
        <w:bottom w:val="none" w:sz="0" w:space="0" w:color="auto"/>
        <w:right w:val="none" w:sz="0" w:space="0" w:color="auto"/>
      </w:divBdr>
    </w:div>
    <w:div w:id="185349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ce.org.uk/privacy-notice" TargetMode="External"/><Relationship Id="rId5" Type="http://schemas.openxmlformats.org/officeDocument/2006/relationships/webSettings" Target="webSettings.xml"/><Relationship Id="rId10" Type="http://schemas.openxmlformats.org/officeDocument/2006/relationships/hyperlink" Target="mailto:piplayexpenses@nice.org.uk" TargetMode="External"/><Relationship Id="rId4" Type="http://schemas.openxmlformats.org/officeDocument/2006/relationships/settings" Target="settings.xml"/><Relationship Id="rId9" Type="http://schemas.openxmlformats.org/officeDocument/2006/relationships/hyperlink" Target="https://www.gov.uk/government/collections/greening-government-commitm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34AB8-87FA-44FE-9CB3-F3F98DEC8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4985</Words>
  <Characters>27633</Characters>
  <Application>Microsoft Office Word</Application>
  <DocSecurity>0</DocSecurity>
  <Lines>230</Lines>
  <Paragraphs>65</Paragraphs>
  <ScaleCrop>false</ScaleCrop>
  <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2022-04-04T15:22:00Z</dcterms:created>
  <dcterms:modified xsi:type="dcterms:W3CDTF">2022-04-04T15:22:00Z</dcterms:modified>
</cp:coreProperties>
</file>