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45898" w14:textId="77777777" w:rsidR="008E0551" w:rsidRPr="00FE14AF" w:rsidRDefault="008E0551" w:rsidP="008E0551">
      <w:pPr>
        <w:pStyle w:val="Paragraphnonumbers"/>
        <w:jc w:val="center"/>
        <w:rPr>
          <w:rFonts w:cs="Arial"/>
          <w:b/>
        </w:rPr>
      </w:pPr>
    </w:p>
    <w:p w14:paraId="2C49F903" w14:textId="51AC0ADD" w:rsidR="00FE14AF" w:rsidRPr="00FE14AF" w:rsidRDefault="00475DED" w:rsidP="007A185A">
      <w:pPr>
        <w:pStyle w:val="Title"/>
        <w:rPr>
          <w:szCs w:val="20"/>
        </w:rPr>
      </w:pPr>
      <w:bookmarkStart w:id="0" w:name="_Hlk44577513"/>
      <w:bookmarkStart w:id="1" w:name="_Toc67304953"/>
      <w:r>
        <w:t>Non-Staff Reimbursement P</w:t>
      </w:r>
      <w:r w:rsidR="00FE14AF" w:rsidRPr="00FE14AF">
        <w:t>olicy</w:t>
      </w:r>
      <w:bookmarkEnd w:id="1"/>
    </w:p>
    <w:bookmarkEnd w:id="0"/>
    <w:p w14:paraId="51E777CA" w14:textId="0527C8EC" w:rsidR="008E0551" w:rsidRDefault="008E0551" w:rsidP="008E0551">
      <w:pPr>
        <w:pStyle w:val="Paragraphnonumbers"/>
        <w:jc w:val="center"/>
        <w:rPr>
          <w:b/>
          <w:sz w:val="40"/>
          <w:szCs w:val="40"/>
        </w:rPr>
      </w:pPr>
    </w:p>
    <w:p w14:paraId="580C620E" w14:textId="591938FC" w:rsidR="00DC3F77" w:rsidRDefault="00DC3F77" w:rsidP="007A185A">
      <w:pPr>
        <w:pStyle w:val="Heading1"/>
        <w:jc w:val="center"/>
      </w:pPr>
      <w:bookmarkStart w:id="2" w:name="_Toc67304954"/>
      <w:r>
        <w:t>Addendum</w:t>
      </w:r>
      <w:bookmarkEnd w:id="2"/>
    </w:p>
    <w:p w14:paraId="589AFD22" w14:textId="77777777" w:rsidR="00404171" w:rsidRDefault="00404171" w:rsidP="007A185A">
      <w:pPr>
        <w:pStyle w:val="Paragraphnonumbers"/>
        <w:rPr>
          <w:b/>
          <w:sz w:val="40"/>
          <w:szCs w:val="40"/>
        </w:rPr>
      </w:pPr>
    </w:p>
    <w:tbl>
      <w:tblPr>
        <w:tblW w:w="0" w:type="auto"/>
        <w:tblInd w:w="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2594"/>
      </w:tblGrid>
      <w:tr w:rsidR="00404171" w14:paraId="2847842B" w14:textId="77777777" w:rsidTr="00404171">
        <w:tc>
          <w:tcPr>
            <w:tcW w:w="2020" w:type="dxa"/>
          </w:tcPr>
          <w:p w14:paraId="4CEDEB13" w14:textId="77777777" w:rsidR="00404171" w:rsidRPr="00E16032" w:rsidRDefault="00404171" w:rsidP="00404171">
            <w:pPr>
              <w:pStyle w:val="NICEnormal"/>
              <w:spacing w:before="60" w:after="120" w:line="240" w:lineRule="auto"/>
              <w:rPr>
                <w:sz w:val="20"/>
                <w:szCs w:val="20"/>
                <w:lang w:val="en-GB"/>
              </w:rPr>
            </w:pPr>
            <w:r w:rsidRPr="00E16032">
              <w:rPr>
                <w:sz w:val="20"/>
                <w:szCs w:val="20"/>
                <w:lang w:val="en-GB"/>
              </w:rPr>
              <w:t>Responsible Officer</w:t>
            </w:r>
          </w:p>
        </w:tc>
        <w:tc>
          <w:tcPr>
            <w:tcW w:w="2594" w:type="dxa"/>
          </w:tcPr>
          <w:p w14:paraId="5E601D0E" w14:textId="1190C0A2" w:rsidR="00404171" w:rsidRPr="00404171" w:rsidRDefault="00703F54" w:rsidP="00404171">
            <w:pPr>
              <w:pStyle w:val="NICEnormal"/>
              <w:spacing w:before="60" w:after="120" w:line="240" w:lineRule="auto"/>
              <w:rPr>
                <w:sz w:val="20"/>
                <w:szCs w:val="20"/>
                <w:lang w:val="en-GB"/>
              </w:rPr>
            </w:pPr>
            <w:r>
              <w:rPr>
                <w:sz w:val="20"/>
                <w:szCs w:val="20"/>
                <w:lang w:val="en-GB"/>
              </w:rPr>
              <w:t xml:space="preserve">Director of </w:t>
            </w:r>
            <w:r w:rsidR="006F5037">
              <w:rPr>
                <w:sz w:val="20"/>
                <w:szCs w:val="20"/>
                <w:lang w:val="en-GB"/>
              </w:rPr>
              <w:t>Finance Strategy and Transformation</w:t>
            </w:r>
          </w:p>
        </w:tc>
      </w:tr>
      <w:tr w:rsidR="00404171" w14:paraId="23854589" w14:textId="77777777" w:rsidTr="00404171">
        <w:tc>
          <w:tcPr>
            <w:tcW w:w="2020" w:type="dxa"/>
          </w:tcPr>
          <w:p w14:paraId="5AA6368B" w14:textId="77777777" w:rsidR="00404171" w:rsidRPr="00E16032" w:rsidRDefault="00404171" w:rsidP="00404171">
            <w:pPr>
              <w:pStyle w:val="NICEnormal"/>
              <w:spacing w:before="60" w:after="120" w:line="240" w:lineRule="auto"/>
              <w:rPr>
                <w:sz w:val="20"/>
                <w:szCs w:val="20"/>
                <w:lang w:val="en-GB"/>
              </w:rPr>
            </w:pPr>
            <w:r w:rsidRPr="00E16032">
              <w:rPr>
                <w:sz w:val="20"/>
                <w:szCs w:val="20"/>
                <w:lang w:val="en-GB"/>
              </w:rPr>
              <w:t>Author</w:t>
            </w:r>
          </w:p>
        </w:tc>
        <w:tc>
          <w:tcPr>
            <w:tcW w:w="2594" w:type="dxa"/>
          </w:tcPr>
          <w:p w14:paraId="358752EE" w14:textId="0FE17084" w:rsidR="00404171" w:rsidRPr="00404171" w:rsidRDefault="00475DED" w:rsidP="00404171">
            <w:pPr>
              <w:pStyle w:val="NICEnormal"/>
              <w:spacing w:before="60" w:after="120" w:line="240" w:lineRule="auto"/>
              <w:rPr>
                <w:sz w:val="20"/>
                <w:szCs w:val="20"/>
                <w:lang w:val="en-GB"/>
              </w:rPr>
            </w:pPr>
            <w:r>
              <w:rPr>
                <w:sz w:val="20"/>
                <w:szCs w:val="20"/>
                <w:lang w:val="en-GB"/>
              </w:rPr>
              <w:t>Jane Lynn</w:t>
            </w:r>
          </w:p>
        </w:tc>
      </w:tr>
      <w:tr w:rsidR="00404171" w14:paraId="508A4361" w14:textId="77777777" w:rsidTr="00404171">
        <w:tc>
          <w:tcPr>
            <w:tcW w:w="2020" w:type="dxa"/>
          </w:tcPr>
          <w:p w14:paraId="4AC960C6" w14:textId="559A3E18" w:rsidR="00404171" w:rsidRPr="00E16032" w:rsidRDefault="00404171" w:rsidP="00615043">
            <w:pPr>
              <w:pStyle w:val="NICEnormal"/>
              <w:spacing w:before="120" w:after="120" w:line="240" w:lineRule="auto"/>
              <w:rPr>
                <w:sz w:val="20"/>
                <w:szCs w:val="20"/>
                <w:lang w:val="en-GB"/>
              </w:rPr>
            </w:pPr>
            <w:r w:rsidRPr="00E16032">
              <w:rPr>
                <w:sz w:val="20"/>
                <w:szCs w:val="20"/>
                <w:lang w:val="en-GB"/>
              </w:rPr>
              <w:t xml:space="preserve">Date </w:t>
            </w:r>
            <w:r w:rsidR="00294716">
              <w:rPr>
                <w:sz w:val="20"/>
                <w:szCs w:val="20"/>
                <w:lang w:val="en-GB"/>
              </w:rPr>
              <w:t>effective from</w:t>
            </w:r>
          </w:p>
        </w:tc>
        <w:tc>
          <w:tcPr>
            <w:tcW w:w="2594" w:type="dxa"/>
          </w:tcPr>
          <w:p w14:paraId="2A927B20" w14:textId="17773BAC" w:rsidR="00404171" w:rsidRPr="00404171" w:rsidRDefault="00EE4461" w:rsidP="00404171">
            <w:pPr>
              <w:widowControl w:val="0"/>
              <w:spacing w:before="120"/>
              <w:rPr>
                <w:rFonts w:ascii="Arial" w:hAnsi="Arial" w:cs="Arial"/>
                <w:sz w:val="20"/>
                <w:szCs w:val="20"/>
                <w:lang w:eastAsia="en-US"/>
              </w:rPr>
            </w:pPr>
            <w:r>
              <w:rPr>
                <w:rFonts w:ascii="Arial" w:hAnsi="Arial" w:cs="Arial"/>
                <w:sz w:val="20"/>
                <w:szCs w:val="20"/>
                <w:lang w:eastAsia="en-US"/>
              </w:rPr>
              <w:t>March</w:t>
            </w:r>
            <w:r w:rsidR="00294716">
              <w:rPr>
                <w:rFonts w:ascii="Arial" w:hAnsi="Arial" w:cs="Arial"/>
                <w:sz w:val="20"/>
                <w:szCs w:val="20"/>
                <w:lang w:eastAsia="en-US"/>
              </w:rPr>
              <w:t xml:space="preserve"> 2020</w:t>
            </w:r>
          </w:p>
        </w:tc>
      </w:tr>
      <w:tr w:rsidR="00404171" w14:paraId="3CFB6BB2" w14:textId="77777777" w:rsidTr="00404171">
        <w:tc>
          <w:tcPr>
            <w:tcW w:w="2020" w:type="dxa"/>
          </w:tcPr>
          <w:p w14:paraId="6347C863" w14:textId="73DE26DC" w:rsidR="00404171" w:rsidRPr="00E16032" w:rsidRDefault="00294716" w:rsidP="00404171">
            <w:pPr>
              <w:pStyle w:val="NICEnormal"/>
              <w:spacing w:before="60" w:after="120" w:line="240" w:lineRule="auto"/>
              <w:rPr>
                <w:sz w:val="20"/>
                <w:szCs w:val="20"/>
                <w:lang w:val="en-GB"/>
              </w:rPr>
            </w:pPr>
            <w:r>
              <w:rPr>
                <w:sz w:val="20"/>
                <w:szCs w:val="20"/>
                <w:lang w:val="en-GB"/>
              </w:rPr>
              <w:t>Next r</w:t>
            </w:r>
            <w:r w:rsidR="00404171" w:rsidRPr="00E16032">
              <w:rPr>
                <w:sz w:val="20"/>
                <w:szCs w:val="20"/>
                <w:lang w:val="en-GB"/>
              </w:rPr>
              <w:t>eview date</w:t>
            </w:r>
          </w:p>
        </w:tc>
        <w:tc>
          <w:tcPr>
            <w:tcW w:w="2594" w:type="dxa"/>
          </w:tcPr>
          <w:p w14:paraId="53DF6A3C" w14:textId="3E8CA4ED" w:rsidR="00404171" w:rsidRPr="00404171" w:rsidRDefault="00367D4D" w:rsidP="00404171">
            <w:pPr>
              <w:widowControl w:val="0"/>
              <w:spacing w:before="120"/>
              <w:rPr>
                <w:rFonts w:ascii="Arial" w:hAnsi="Arial" w:cs="Arial"/>
                <w:sz w:val="20"/>
                <w:szCs w:val="20"/>
                <w:lang w:eastAsia="en-US"/>
              </w:rPr>
            </w:pPr>
            <w:r>
              <w:rPr>
                <w:rFonts w:ascii="Arial" w:hAnsi="Arial" w:cs="Arial"/>
                <w:sz w:val="20"/>
                <w:szCs w:val="20"/>
                <w:lang w:eastAsia="en-US"/>
              </w:rPr>
              <w:t>N/A</w:t>
            </w:r>
          </w:p>
        </w:tc>
      </w:tr>
    </w:tbl>
    <w:sdt>
      <w:sdtPr>
        <w:id w:val="-1008513494"/>
        <w:docPartObj>
          <w:docPartGallery w:val="Table of Contents"/>
          <w:docPartUnique/>
        </w:docPartObj>
      </w:sdtPr>
      <w:sdtEndPr>
        <w:rPr>
          <w:rFonts w:ascii="Times New Roman" w:eastAsia="Times New Roman" w:hAnsi="Times New Roman" w:cs="Times New Roman"/>
          <w:b/>
          <w:bCs/>
          <w:noProof/>
          <w:color w:val="auto"/>
          <w:sz w:val="24"/>
          <w:szCs w:val="24"/>
          <w:lang w:val="en-GB" w:eastAsia="en-GB"/>
        </w:rPr>
      </w:sdtEndPr>
      <w:sdtContent>
        <w:p w14:paraId="7516F284" w14:textId="6CBB211D" w:rsidR="00D7416F" w:rsidRDefault="00D7416F">
          <w:pPr>
            <w:pStyle w:val="TOCHeading"/>
          </w:pPr>
          <w:r>
            <w:t>Contents</w:t>
          </w:r>
        </w:p>
        <w:p w14:paraId="2503150C" w14:textId="318D3D7D" w:rsidR="00D7416F" w:rsidRDefault="00D7416F">
          <w:pPr>
            <w:pStyle w:val="TOC1"/>
            <w:rPr>
              <w:rFonts w:asciiTheme="minorHAnsi" w:hAnsiTheme="minorHAnsi" w:cstheme="minorBidi"/>
              <w:sz w:val="22"/>
              <w:szCs w:val="22"/>
            </w:rPr>
          </w:pPr>
          <w:r>
            <w:fldChar w:fldCharType="begin"/>
          </w:r>
          <w:r>
            <w:instrText xml:space="preserve"> TOC \o "1-3" \h \z \u </w:instrText>
          </w:r>
          <w:r>
            <w:fldChar w:fldCharType="separate"/>
          </w:r>
          <w:hyperlink w:anchor="_Toc67304953" w:history="1">
            <w:r w:rsidRPr="001F5686">
              <w:rPr>
                <w:rStyle w:val="Hyperlink"/>
              </w:rPr>
              <w:t>Non-Staff Reimbursement Policy</w:t>
            </w:r>
            <w:r>
              <w:rPr>
                <w:webHidden/>
              </w:rPr>
              <w:tab/>
            </w:r>
            <w:r>
              <w:rPr>
                <w:webHidden/>
              </w:rPr>
              <w:fldChar w:fldCharType="begin"/>
            </w:r>
            <w:r>
              <w:rPr>
                <w:webHidden/>
              </w:rPr>
              <w:instrText xml:space="preserve"> PAGEREF _Toc67304953 \h </w:instrText>
            </w:r>
            <w:r>
              <w:rPr>
                <w:webHidden/>
              </w:rPr>
            </w:r>
            <w:r>
              <w:rPr>
                <w:webHidden/>
              </w:rPr>
              <w:fldChar w:fldCharType="separate"/>
            </w:r>
            <w:r>
              <w:rPr>
                <w:webHidden/>
              </w:rPr>
              <w:t>1</w:t>
            </w:r>
            <w:r>
              <w:rPr>
                <w:webHidden/>
              </w:rPr>
              <w:fldChar w:fldCharType="end"/>
            </w:r>
          </w:hyperlink>
        </w:p>
        <w:p w14:paraId="024B3273" w14:textId="6685F606" w:rsidR="00D7416F" w:rsidRDefault="00D7416F">
          <w:pPr>
            <w:pStyle w:val="TOC1"/>
            <w:rPr>
              <w:rFonts w:asciiTheme="minorHAnsi" w:hAnsiTheme="minorHAnsi" w:cstheme="minorBidi"/>
              <w:sz w:val="22"/>
              <w:szCs w:val="22"/>
            </w:rPr>
          </w:pPr>
          <w:hyperlink w:anchor="_Toc67304954" w:history="1">
            <w:r w:rsidRPr="001F5686">
              <w:rPr>
                <w:rStyle w:val="Hyperlink"/>
              </w:rPr>
              <w:t>Addendum</w:t>
            </w:r>
            <w:r>
              <w:rPr>
                <w:webHidden/>
              </w:rPr>
              <w:tab/>
            </w:r>
            <w:r>
              <w:rPr>
                <w:webHidden/>
              </w:rPr>
              <w:fldChar w:fldCharType="begin"/>
            </w:r>
            <w:r>
              <w:rPr>
                <w:webHidden/>
              </w:rPr>
              <w:instrText xml:space="preserve"> PAGEREF _Toc67304954 \h </w:instrText>
            </w:r>
            <w:r>
              <w:rPr>
                <w:webHidden/>
              </w:rPr>
            </w:r>
            <w:r>
              <w:rPr>
                <w:webHidden/>
              </w:rPr>
              <w:fldChar w:fldCharType="separate"/>
            </w:r>
            <w:r>
              <w:rPr>
                <w:webHidden/>
              </w:rPr>
              <w:t>1</w:t>
            </w:r>
            <w:r>
              <w:rPr>
                <w:webHidden/>
              </w:rPr>
              <w:fldChar w:fldCharType="end"/>
            </w:r>
          </w:hyperlink>
        </w:p>
        <w:p w14:paraId="19DB0506" w14:textId="5CB2A391" w:rsidR="00D7416F" w:rsidRDefault="00D7416F">
          <w:pPr>
            <w:pStyle w:val="TOC2"/>
            <w:tabs>
              <w:tab w:val="right" w:leader="dot" w:pos="9016"/>
            </w:tabs>
            <w:rPr>
              <w:rFonts w:asciiTheme="minorHAnsi" w:eastAsiaTheme="minorEastAsia" w:hAnsiTheme="minorHAnsi" w:cstheme="minorBidi"/>
              <w:noProof/>
              <w:sz w:val="22"/>
              <w:szCs w:val="22"/>
            </w:rPr>
          </w:pPr>
          <w:hyperlink w:anchor="_Toc67304955" w:history="1">
            <w:r w:rsidRPr="001F5686">
              <w:rPr>
                <w:rStyle w:val="Hyperlink"/>
                <w:noProof/>
              </w:rPr>
              <w:t>Introduction</w:t>
            </w:r>
            <w:r>
              <w:rPr>
                <w:noProof/>
                <w:webHidden/>
              </w:rPr>
              <w:tab/>
            </w:r>
            <w:r>
              <w:rPr>
                <w:noProof/>
                <w:webHidden/>
              </w:rPr>
              <w:fldChar w:fldCharType="begin"/>
            </w:r>
            <w:r>
              <w:rPr>
                <w:noProof/>
                <w:webHidden/>
              </w:rPr>
              <w:instrText xml:space="preserve"> PAGEREF _Toc67304955 \h </w:instrText>
            </w:r>
            <w:r>
              <w:rPr>
                <w:noProof/>
                <w:webHidden/>
              </w:rPr>
            </w:r>
            <w:r>
              <w:rPr>
                <w:noProof/>
                <w:webHidden/>
              </w:rPr>
              <w:fldChar w:fldCharType="separate"/>
            </w:r>
            <w:r>
              <w:rPr>
                <w:noProof/>
                <w:webHidden/>
              </w:rPr>
              <w:t>1</w:t>
            </w:r>
            <w:r>
              <w:rPr>
                <w:noProof/>
                <w:webHidden/>
              </w:rPr>
              <w:fldChar w:fldCharType="end"/>
            </w:r>
          </w:hyperlink>
        </w:p>
        <w:p w14:paraId="025C8736" w14:textId="0EA2F36D" w:rsidR="00D7416F" w:rsidRDefault="00D7416F">
          <w:pPr>
            <w:pStyle w:val="TOC2"/>
            <w:tabs>
              <w:tab w:val="right" w:leader="dot" w:pos="9016"/>
            </w:tabs>
            <w:rPr>
              <w:rFonts w:asciiTheme="minorHAnsi" w:eastAsiaTheme="minorEastAsia" w:hAnsiTheme="minorHAnsi" w:cstheme="minorBidi"/>
              <w:noProof/>
              <w:sz w:val="22"/>
              <w:szCs w:val="22"/>
            </w:rPr>
          </w:pPr>
          <w:hyperlink w:anchor="_Toc67304956" w:history="1">
            <w:r w:rsidRPr="001F5686">
              <w:rPr>
                <w:rStyle w:val="Hyperlink"/>
                <w:noProof/>
              </w:rPr>
              <w:t>Scope</w:t>
            </w:r>
            <w:r>
              <w:rPr>
                <w:noProof/>
                <w:webHidden/>
              </w:rPr>
              <w:tab/>
            </w:r>
            <w:r>
              <w:rPr>
                <w:noProof/>
                <w:webHidden/>
              </w:rPr>
              <w:fldChar w:fldCharType="begin"/>
            </w:r>
            <w:r>
              <w:rPr>
                <w:noProof/>
                <w:webHidden/>
              </w:rPr>
              <w:instrText xml:space="preserve"> PAGEREF _Toc67304956 \h </w:instrText>
            </w:r>
            <w:r>
              <w:rPr>
                <w:noProof/>
                <w:webHidden/>
              </w:rPr>
            </w:r>
            <w:r>
              <w:rPr>
                <w:noProof/>
                <w:webHidden/>
              </w:rPr>
              <w:fldChar w:fldCharType="separate"/>
            </w:r>
            <w:r>
              <w:rPr>
                <w:noProof/>
                <w:webHidden/>
              </w:rPr>
              <w:t>3</w:t>
            </w:r>
            <w:r>
              <w:rPr>
                <w:noProof/>
                <w:webHidden/>
              </w:rPr>
              <w:fldChar w:fldCharType="end"/>
            </w:r>
          </w:hyperlink>
        </w:p>
        <w:p w14:paraId="32BBC66F" w14:textId="0926BCE7" w:rsidR="00D7416F" w:rsidRDefault="00D7416F">
          <w:pPr>
            <w:pStyle w:val="TOC2"/>
            <w:tabs>
              <w:tab w:val="right" w:leader="dot" w:pos="9016"/>
            </w:tabs>
            <w:rPr>
              <w:rFonts w:asciiTheme="minorHAnsi" w:eastAsiaTheme="minorEastAsia" w:hAnsiTheme="minorHAnsi" w:cstheme="minorBidi"/>
              <w:noProof/>
              <w:sz w:val="22"/>
              <w:szCs w:val="22"/>
            </w:rPr>
          </w:pPr>
          <w:hyperlink w:anchor="_Toc67304957" w:history="1">
            <w:r w:rsidRPr="001F5686">
              <w:rPr>
                <w:rStyle w:val="Hyperlink"/>
                <w:noProof/>
              </w:rPr>
              <w:t>Main policy and procedural changes</w:t>
            </w:r>
            <w:r>
              <w:rPr>
                <w:noProof/>
                <w:webHidden/>
              </w:rPr>
              <w:tab/>
            </w:r>
            <w:r>
              <w:rPr>
                <w:noProof/>
                <w:webHidden/>
              </w:rPr>
              <w:fldChar w:fldCharType="begin"/>
            </w:r>
            <w:r>
              <w:rPr>
                <w:noProof/>
                <w:webHidden/>
              </w:rPr>
              <w:instrText xml:space="preserve"> PAGEREF _Toc67304957 \h </w:instrText>
            </w:r>
            <w:r>
              <w:rPr>
                <w:noProof/>
                <w:webHidden/>
              </w:rPr>
            </w:r>
            <w:r>
              <w:rPr>
                <w:noProof/>
                <w:webHidden/>
              </w:rPr>
              <w:fldChar w:fldCharType="separate"/>
            </w:r>
            <w:r>
              <w:rPr>
                <w:noProof/>
                <w:webHidden/>
              </w:rPr>
              <w:t>3</w:t>
            </w:r>
            <w:r>
              <w:rPr>
                <w:noProof/>
                <w:webHidden/>
              </w:rPr>
              <w:fldChar w:fldCharType="end"/>
            </w:r>
          </w:hyperlink>
        </w:p>
        <w:p w14:paraId="68B8636B" w14:textId="78758A13" w:rsidR="00D7416F" w:rsidRDefault="00D7416F">
          <w:pPr>
            <w:pStyle w:val="TOC3"/>
            <w:tabs>
              <w:tab w:val="right" w:leader="dot" w:pos="9016"/>
            </w:tabs>
            <w:rPr>
              <w:rFonts w:asciiTheme="minorHAnsi" w:eastAsiaTheme="minorEastAsia" w:hAnsiTheme="minorHAnsi" w:cstheme="minorBidi"/>
              <w:noProof/>
              <w:sz w:val="22"/>
              <w:szCs w:val="22"/>
            </w:rPr>
          </w:pPr>
          <w:hyperlink w:anchor="_Toc67304958" w:history="1">
            <w:r w:rsidRPr="001F5686">
              <w:rPr>
                <w:rStyle w:val="Hyperlink"/>
                <w:noProof/>
                <w:lang w:val="en-US"/>
              </w:rPr>
              <w:t>Printing costs</w:t>
            </w:r>
            <w:r>
              <w:rPr>
                <w:noProof/>
                <w:webHidden/>
              </w:rPr>
              <w:tab/>
            </w:r>
            <w:r>
              <w:rPr>
                <w:noProof/>
                <w:webHidden/>
              </w:rPr>
              <w:fldChar w:fldCharType="begin"/>
            </w:r>
            <w:r>
              <w:rPr>
                <w:noProof/>
                <w:webHidden/>
              </w:rPr>
              <w:instrText xml:space="preserve"> PAGEREF _Toc67304958 \h </w:instrText>
            </w:r>
            <w:r>
              <w:rPr>
                <w:noProof/>
                <w:webHidden/>
              </w:rPr>
            </w:r>
            <w:r>
              <w:rPr>
                <w:noProof/>
                <w:webHidden/>
              </w:rPr>
              <w:fldChar w:fldCharType="separate"/>
            </w:r>
            <w:r>
              <w:rPr>
                <w:noProof/>
                <w:webHidden/>
              </w:rPr>
              <w:t>3</w:t>
            </w:r>
            <w:r>
              <w:rPr>
                <w:noProof/>
                <w:webHidden/>
              </w:rPr>
              <w:fldChar w:fldCharType="end"/>
            </w:r>
          </w:hyperlink>
        </w:p>
        <w:p w14:paraId="04CB0193" w14:textId="1864882C" w:rsidR="00D7416F" w:rsidRDefault="00D7416F">
          <w:pPr>
            <w:pStyle w:val="TOC3"/>
            <w:tabs>
              <w:tab w:val="right" w:leader="dot" w:pos="9016"/>
            </w:tabs>
            <w:rPr>
              <w:rFonts w:asciiTheme="minorHAnsi" w:eastAsiaTheme="minorEastAsia" w:hAnsiTheme="minorHAnsi" w:cstheme="minorBidi"/>
              <w:noProof/>
              <w:sz w:val="22"/>
              <w:szCs w:val="22"/>
            </w:rPr>
          </w:pPr>
          <w:hyperlink w:anchor="_Toc67304959" w:history="1">
            <w:r w:rsidRPr="001F5686">
              <w:rPr>
                <w:rStyle w:val="Hyperlink"/>
                <w:noProof/>
                <w:lang w:val="en-US"/>
              </w:rPr>
              <w:t>Equipment</w:t>
            </w:r>
            <w:r>
              <w:rPr>
                <w:noProof/>
                <w:webHidden/>
              </w:rPr>
              <w:tab/>
            </w:r>
            <w:r>
              <w:rPr>
                <w:noProof/>
                <w:webHidden/>
              </w:rPr>
              <w:fldChar w:fldCharType="begin"/>
            </w:r>
            <w:r>
              <w:rPr>
                <w:noProof/>
                <w:webHidden/>
              </w:rPr>
              <w:instrText xml:space="preserve"> PAGEREF _Toc67304959 \h </w:instrText>
            </w:r>
            <w:r>
              <w:rPr>
                <w:noProof/>
                <w:webHidden/>
              </w:rPr>
            </w:r>
            <w:r>
              <w:rPr>
                <w:noProof/>
                <w:webHidden/>
              </w:rPr>
              <w:fldChar w:fldCharType="separate"/>
            </w:r>
            <w:r>
              <w:rPr>
                <w:noProof/>
                <w:webHidden/>
              </w:rPr>
              <w:t>3</w:t>
            </w:r>
            <w:r>
              <w:rPr>
                <w:noProof/>
                <w:webHidden/>
              </w:rPr>
              <w:fldChar w:fldCharType="end"/>
            </w:r>
          </w:hyperlink>
        </w:p>
        <w:p w14:paraId="7B0827FC" w14:textId="068661B6" w:rsidR="00D7416F" w:rsidRDefault="00D7416F">
          <w:pPr>
            <w:pStyle w:val="TOC3"/>
            <w:tabs>
              <w:tab w:val="right" w:leader="dot" w:pos="9016"/>
            </w:tabs>
            <w:rPr>
              <w:rFonts w:asciiTheme="minorHAnsi" w:eastAsiaTheme="minorEastAsia" w:hAnsiTheme="minorHAnsi" w:cstheme="minorBidi"/>
              <w:noProof/>
              <w:sz w:val="22"/>
              <w:szCs w:val="22"/>
            </w:rPr>
          </w:pPr>
          <w:hyperlink w:anchor="_Toc67304960" w:history="1">
            <w:r w:rsidRPr="001F5686">
              <w:rPr>
                <w:rStyle w:val="Hyperlink"/>
                <w:noProof/>
              </w:rPr>
              <w:t>Monitoring and review</w:t>
            </w:r>
            <w:r>
              <w:rPr>
                <w:noProof/>
                <w:webHidden/>
              </w:rPr>
              <w:tab/>
            </w:r>
            <w:r>
              <w:rPr>
                <w:noProof/>
                <w:webHidden/>
              </w:rPr>
              <w:fldChar w:fldCharType="begin"/>
            </w:r>
            <w:r>
              <w:rPr>
                <w:noProof/>
                <w:webHidden/>
              </w:rPr>
              <w:instrText xml:space="preserve"> PAGEREF _Toc67304960 \h </w:instrText>
            </w:r>
            <w:r>
              <w:rPr>
                <w:noProof/>
                <w:webHidden/>
              </w:rPr>
            </w:r>
            <w:r>
              <w:rPr>
                <w:noProof/>
                <w:webHidden/>
              </w:rPr>
              <w:fldChar w:fldCharType="separate"/>
            </w:r>
            <w:r>
              <w:rPr>
                <w:noProof/>
                <w:webHidden/>
              </w:rPr>
              <w:t>4</w:t>
            </w:r>
            <w:r>
              <w:rPr>
                <w:noProof/>
                <w:webHidden/>
              </w:rPr>
              <w:fldChar w:fldCharType="end"/>
            </w:r>
          </w:hyperlink>
        </w:p>
        <w:p w14:paraId="02F2E89C" w14:textId="23F1394E" w:rsidR="00D7416F" w:rsidRDefault="00D7416F">
          <w:pPr>
            <w:pStyle w:val="TOC2"/>
            <w:tabs>
              <w:tab w:val="right" w:leader="dot" w:pos="9016"/>
            </w:tabs>
            <w:rPr>
              <w:rFonts w:asciiTheme="minorHAnsi" w:eastAsiaTheme="minorEastAsia" w:hAnsiTheme="minorHAnsi" w:cstheme="minorBidi"/>
              <w:noProof/>
              <w:sz w:val="22"/>
              <w:szCs w:val="22"/>
            </w:rPr>
          </w:pPr>
          <w:hyperlink w:anchor="_Toc67304961" w:history="1">
            <w:r w:rsidRPr="001F5686">
              <w:rPr>
                <w:rStyle w:val="Hyperlink"/>
                <w:noProof/>
              </w:rPr>
              <w:t>Related policies and procedures</w:t>
            </w:r>
            <w:r>
              <w:rPr>
                <w:noProof/>
                <w:webHidden/>
              </w:rPr>
              <w:tab/>
            </w:r>
            <w:r>
              <w:rPr>
                <w:noProof/>
                <w:webHidden/>
              </w:rPr>
              <w:fldChar w:fldCharType="begin"/>
            </w:r>
            <w:r>
              <w:rPr>
                <w:noProof/>
                <w:webHidden/>
              </w:rPr>
              <w:instrText xml:space="preserve"> PAGEREF _Toc67304961 \h </w:instrText>
            </w:r>
            <w:r>
              <w:rPr>
                <w:noProof/>
                <w:webHidden/>
              </w:rPr>
            </w:r>
            <w:r>
              <w:rPr>
                <w:noProof/>
                <w:webHidden/>
              </w:rPr>
              <w:fldChar w:fldCharType="separate"/>
            </w:r>
            <w:r>
              <w:rPr>
                <w:noProof/>
                <w:webHidden/>
              </w:rPr>
              <w:t>4</w:t>
            </w:r>
            <w:r>
              <w:rPr>
                <w:noProof/>
                <w:webHidden/>
              </w:rPr>
              <w:fldChar w:fldCharType="end"/>
            </w:r>
          </w:hyperlink>
        </w:p>
        <w:p w14:paraId="0C62B17C" w14:textId="78303701" w:rsidR="00D7416F" w:rsidRDefault="00D7416F">
          <w:r>
            <w:rPr>
              <w:b/>
              <w:bCs/>
              <w:noProof/>
            </w:rPr>
            <w:fldChar w:fldCharType="end"/>
          </w:r>
        </w:p>
      </w:sdtContent>
    </w:sdt>
    <w:sdt>
      <w:sdtPr>
        <w:id w:val="72547849"/>
        <w:docPartObj>
          <w:docPartGallery w:val="Table of Contents"/>
          <w:docPartUnique/>
        </w:docPartObj>
      </w:sdtPr>
      <w:sdtEndPr>
        <w:rPr>
          <w:b/>
          <w:bCs/>
        </w:rPr>
      </w:sdtEndPr>
      <w:sdtContent>
        <w:p w14:paraId="7E1572AF" w14:textId="689E5B72" w:rsidR="00D7420D" w:rsidRDefault="004A67C5" w:rsidP="004A67C5">
          <w:pPr>
            <w:pStyle w:val="TOCHeading"/>
          </w:pPr>
          <w:r>
            <w:rPr>
              <w:noProof/>
            </w:rPr>
            <w:fldChar w:fldCharType="begin"/>
          </w:r>
          <w:r>
            <w:instrText xml:space="preserve"> TOC \o "1-3" \h \z \u </w:instrText>
          </w:r>
          <w:r>
            <w:rPr>
              <w:noProof/>
            </w:rPr>
            <w:fldChar w:fldCharType="end"/>
          </w:r>
        </w:p>
      </w:sdtContent>
    </w:sdt>
    <w:p w14:paraId="78FBD3BA" w14:textId="7E7EB62D" w:rsidR="00D7420D" w:rsidRPr="007A185A" w:rsidRDefault="00AC3FB5" w:rsidP="007A185A">
      <w:pPr>
        <w:pStyle w:val="Heading2"/>
        <w:rPr>
          <w:i w:val="0"/>
          <w:iCs w:val="0"/>
          <w:color w:val="31849B"/>
          <w:sz w:val="24"/>
          <w:szCs w:val="24"/>
        </w:rPr>
      </w:pPr>
      <w:bookmarkStart w:id="3" w:name="_Toc529909114"/>
      <w:bookmarkStart w:id="4" w:name="_Toc44672638"/>
      <w:bookmarkStart w:id="5" w:name="_Toc44685235"/>
      <w:bookmarkStart w:id="6" w:name="_Toc44686275"/>
      <w:bookmarkStart w:id="7" w:name="_Toc67304955"/>
      <w:r w:rsidRPr="007A185A">
        <w:rPr>
          <w:i w:val="0"/>
          <w:iCs w:val="0"/>
        </w:rPr>
        <w:t>Introduction</w:t>
      </w:r>
      <w:bookmarkEnd w:id="3"/>
      <w:bookmarkEnd w:id="4"/>
      <w:bookmarkEnd w:id="5"/>
      <w:bookmarkEnd w:id="6"/>
      <w:bookmarkEnd w:id="7"/>
    </w:p>
    <w:p w14:paraId="07FF5D51" w14:textId="15C50FFD" w:rsidR="006610B7" w:rsidRDefault="00AC3FB5" w:rsidP="007A185A">
      <w:pPr>
        <w:pStyle w:val="Paragraphnonumbers"/>
        <w:spacing w:before="240"/>
        <w:jc w:val="both"/>
      </w:pPr>
      <w:r>
        <w:t>T</w:t>
      </w:r>
      <w:r w:rsidR="00495539">
        <w:t>his</w:t>
      </w:r>
      <w:r w:rsidR="00DC3F77">
        <w:t xml:space="preserve"> addendum to the substantive</w:t>
      </w:r>
      <w:r w:rsidR="00956071">
        <w:t xml:space="preserve"> policy </w:t>
      </w:r>
      <w:r w:rsidR="00DC3F77">
        <w:t xml:space="preserve">has been produced to </w:t>
      </w:r>
      <w:r w:rsidR="00956071">
        <w:t>cover</w:t>
      </w:r>
      <w:r w:rsidR="00DC3F77">
        <w:t xml:space="preserve"> the exceptional circumstances during the COVID-19 pandemic.</w:t>
      </w:r>
      <w:r w:rsidR="00164999">
        <w:t xml:space="preserve"> </w:t>
      </w:r>
      <w:r w:rsidR="00164999" w:rsidRPr="00164999">
        <w:rPr>
          <w:lang w:val="en-US"/>
        </w:rPr>
        <w:t xml:space="preserve"> </w:t>
      </w:r>
      <w:r w:rsidR="00164999">
        <w:rPr>
          <w:lang w:val="en-US"/>
        </w:rPr>
        <w:t xml:space="preserve">NICE’s Senior Management Team (SMT) decided to close our offices </w:t>
      </w:r>
      <w:r w:rsidR="00475DED">
        <w:rPr>
          <w:lang w:val="en-US"/>
        </w:rPr>
        <w:t>from 23 Ma</w:t>
      </w:r>
      <w:r w:rsidR="006F5037">
        <w:rPr>
          <w:lang w:val="en-US"/>
        </w:rPr>
        <w:t>r</w:t>
      </w:r>
      <w:r w:rsidR="00475DED">
        <w:rPr>
          <w:lang w:val="en-US"/>
        </w:rPr>
        <w:t>ch 2020 and hold committees remotely from this date</w:t>
      </w:r>
      <w:r w:rsidR="005D28B9">
        <w:rPr>
          <w:lang w:val="en-US"/>
        </w:rPr>
        <w:t>.</w:t>
      </w:r>
    </w:p>
    <w:p w14:paraId="3A56D882" w14:textId="3DFFC56E" w:rsidR="00FD3A45" w:rsidRPr="004A265B" w:rsidRDefault="00475DED" w:rsidP="007A185A">
      <w:pPr>
        <w:pStyle w:val="Paragraph"/>
        <w:numPr>
          <w:ilvl w:val="0"/>
          <w:numId w:val="0"/>
        </w:numPr>
        <w:tabs>
          <w:tab w:val="clear" w:pos="567"/>
          <w:tab w:val="left" w:pos="0"/>
          <w:tab w:val="left" w:pos="709"/>
        </w:tabs>
        <w:spacing w:before="240"/>
        <w:ind w:left="709"/>
        <w:jc w:val="both"/>
        <w:rPr>
          <w:lang w:val="en-US"/>
        </w:rPr>
      </w:pPr>
      <w:r w:rsidRPr="004A265B">
        <w:rPr>
          <w:lang w:val="en-US"/>
        </w:rPr>
        <w:lastRenderedPageBreak/>
        <w:t xml:space="preserve">Holding committees remotely has </w:t>
      </w:r>
      <w:r w:rsidR="006B309B" w:rsidRPr="004A265B">
        <w:rPr>
          <w:lang w:val="en-US"/>
        </w:rPr>
        <w:t xml:space="preserve">resulted </w:t>
      </w:r>
      <w:r w:rsidRPr="004A265B">
        <w:rPr>
          <w:lang w:val="en-US"/>
        </w:rPr>
        <w:t xml:space="preserve">in the need to support some attendees differently so they can attend effectively. </w:t>
      </w:r>
      <w:r w:rsidR="00DE65C0" w:rsidRPr="004A265B">
        <w:rPr>
          <w:lang w:val="en-US"/>
        </w:rPr>
        <w:t xml:space="preserve">Mechanisms to do this </w:t>
      </w:r>
      <w:r w:rsidR="006F5037" w:rsidRPr="004A265B">
        <w:rPr>
          <w:lang w:val="en-US"/>
        </w:rPr>
        <w:t>are</w:t>
      </w:r>
      <w:r w:rsidR="00DE65C0" w:rsidRPr="004A265B">
        <w:rPr>
          <w:lang w:val="en-US"/>
        </w:rPr>
        <w:t xml:space="preserve"> not covered in the existing </w:t>
      </w:r>
      <w:r w:rsidRPr="004A265B">
        <w:rPr>
          <w:lang w:val="en-US"/>
        </w:rPr>
        <w:t>Non-Staff</w:t>
      </w:r>
      <w:r w:rsidR="00DE65C0" w:rsidRPr="004A265B">
        <w:rPr>
          <w:lang w:val="en-US"/>
        </w:rPr>
        <w:t xml:space="preserve"> Reimbursement Policy. </w:t>
      </w:r>
    </w:p>
    <w:p w14:paraId="09D0ED3B" w14:textId="16397182" w:rsidR="005E3C4D" w:rsidRPr="004A265B" w:rsidRDefault="00F6739A" w:rsidP="007A185A">
      <w:pPr>
        <w:pStyle w:val="Paragraphnonumbers"/>
        <w:spacing w:before="240"/>
        <w:jc w:val="both"/>
      </w:pPr>
      <w:r w:rsidRPr="004A265B">
        <w:t xml:space="preserve">This policy addendum introduces a </w:t>
      </w:r>
      <w:r w:rsidR="004A265B">
        <w:t xml:space="preserve">temporary </w:t>
      </w:r>
      <w:r w:rsidR="004A265B" w:rsidRPr="004A265B">
        <w:t xml:space="preserve">printing </w:t>
      </w:r>
      <w:r w:rsidR="004A265B">
        <w:t xml:space="preserve">cost </w:t>
      </w:r>
      <w:r w:rsidR="004A265B" w:rsidRPr="004A265B">
        <w:t xml:space="preserve">allowance </w:t>
      </w:r>
      <w:r w:rsidRPr="004A265B">
        <w:t xml:space="preserve">and outlines how </w:t>
      </w:r>
      <w:r w:rsidR="004A265B" w:rsidRPr="004A265B">
        <w:t>individuals</w:t>
      </w:r>
      <w:r w:rsidRPr="004A265B">
        <w:t xml:space="preserve"> can obtain </w:t>
      </w:r>
      <w:r w:rsidR="004A265B" w:rsidRPr="004A265B">
        <w:t xml:space="preserve">reimbursement for </w:t>
      </w:r>
      <w:r w:rsidRPr="004A265B">
        <w:t xml:space="preserve">equipment </w:t>
      </w:r>
      <w:r w:rsidR="004A265B" w:rsidRPr="004A265B">
        <w:t xml:space="preserve">needed </w:t>
      </w:r>
      <w:r w:rsidRPr="004A265B">
        <w:t xml:space="preserve">to </w:t>
      </w:r>
      <w:r w:rsidR="004A265B" w:rsidRPr="004A265B">
        <w:t>participate in meetings</w:t>
      </w:r>
      <w:r w:rsidRPr="004A265B">
        <w:t>.</w:t>
      </w:r>
    </w:p>
    <w:p w14:paraId="148E1A2A" w14:textId="406636A5" w:rsidR="00DE65C0" w:rsidRPr="005E3C4D" w:rsidRDefault="00F6739A" w:rsidP="007A185A">
      <w:pPr>
        <w:pStyle w:val="Paragraphnonumbers"/>
        <w:spacing w:before="240"/>
        <w:ind w:left="709"/>
        <w:jc w:val="both"/>
      </w:pPr>
      <w:r>
        <w:t>Additional advice and support can be found on the Expenses Page of the intranet or by contacting the NICE Expenses Team</w:t>
      </w:r>
      <w:r w:rsidRPr="00DC3F77">
        <w:rPr>
          <w:bCs/>
        </w:rPr>
        <w:t>.</w:t>
      </w:r>
      <w:bookmarkStart w:id="8" w:name="_Toc529909115"/>
    </w:p>
    <w:p w14:paraId="177A1ADB" w14:textId="77777777" w:rsidR="005E3C4D" w:rsidRDefault="005E3C4D" w:rsidP="00572EB0">
      <w:pPr>
        <w:pStyle w:val="ListParagraph"/>
        <w:spacing w:before="240" w:after="240" w:line="276" w:lineRule="auto"/>
        <w:ind w:left="709" w:hanging="709"/>
        <w:jc w:val="both"/>
      </w:pPr>
    </w:p>
    <w:p w14:paraId="2C4B23FF" w14:textId="77777777" w:rsidR="005E3C4D" w:rsidRPr="005E3C4D" w:rsidRDefault="005E3C4D" w:rsidP="005E3C4D">
      <w:pPr>
        <w:pStyle w:val="Paragraphnonumbers"/>
        <w:spacing w:after="0"/>
        <w:ind w:left="720"/>
      </w:pPr>
    </w:p>
    <w:p w14:paraId="2911A520" w14:textId="77777777" w:rsidR="00CA00DE" w:rsidRDefault="00CA00DE">
      <w:pPr>
        <w:rPr>
          <w:rFonts w:ascii="Arial" w:hAnsi="Arial"/>
          <w:b/>
          <w:bCs/>
          <w:kern w:val="32"/>
          <w:sz w:val="28"/>
          <w:szCs w:val="32"/>
        </w:rPr>
      </w:pPr>
      <w:bookmarkStart w:id="9" w:name="_Toc44672639"/>
      <w:bookmarkStart w:id="10" w:name="_Toc44686276"/>
      <w:r>
        <w:br w:type="page"/>
      </w:r>
    </w:p>
    <w:p w14:paraId="1EE7B7FA" w14:textId="6A4D0DA7" w:rsidR="006610B7" w:rsidRPr="007A185A" w:rsidRDefault="00476E7B" w:rsidP="007A185A">
      <w:pPr>
        <w:pStyle w:val="Heading2"/>
        <w:rPr>
          <w:i w:val="0"/>
          <w:iCs w:val="0"/>
          <w:szCs w:val="24"/>
        </w:rPr>
      </w:pPr>
      <w:bookmarkStart w:id="11" w:name="_Toc67304956"/>
      <w:r w:rsidRPr="007A185A">
        <w:rPr>
          <w:i w:val="0"/>
          <w:iCs w:val="0"/>
        </w:rPr>
        <w:lastRenderedPageBreak/>
        <w:t>Scope</w:t>
      </w:r>
      <w:bookmarkEnd w:id="8"/>
      <w:bookmarkEnd w:id="9"/>
      <w:bookmarkEnd w:id="10"/>
      <w:bookmarkEnd w:id="11"/>
      <w:r w:rsidRPr="007A185A">
        <w:rPr>
          <w:i w:val="0"/>
          <w:iCs w:val="0"/>
          <w:szCs w:val="24"/>
        </w:rPr>
        <w:t xml:space="preserve"> </w:t>
      </w:r>
    </w:p>
    <w:p w14:paraId="70C6EC56" w14:textId="2F32F01B" w:rsidR="00DE65C0" w:rsidRPr="007A185A" w:rsidRDefault="00476E7B" w:rsidP="007A185A">
      <w:pPr>
        <w:widowControl w:val="0"/>
        <w:spacing w:before="240" w:after="240" w:line="276" w:lineRule="auto"/>
        <w:jc w:val="both"/>
        <w:rPr>
          <w:rFonts w:ascii="Arial" w:hAnsi="Arial" w:cs="Arial"/>
        </w:rPr>
      </w:pPr>
      <w:r w:rsidRPr="007A185A">
        <w:rPr>
          <w:rFonts w:ascii="Arial" w:hAnsi="Arial" w:cs="Arial"/>
        </w:rPr>
        <w:t xml:space="preserve">This policy </w:t>
      </w:r>
      <w:r w:rsidR="00AC3FB5" w:rsidRPr="007A185A">
        <w:rPr>
          <w:rFonts w:ascii="Arial" w:hAnsi="Arial" w:cs="Arial"/>
        </w:rPr>
        <w:t xml:space="preserve">addendum </w:t>
      </w:r>
      <w:r w:rsidRPr="007A185A">
        <w:rPr>
          <w:rFonts w:ascii="Arial" w:hAnsi="Arial" w:cs="Arial"/>
        </w:rPr>
        <w:t xml:space="preserve">applies to </w:t>
      </w:r>
      <w:r w:rsidR="006F5037" w:rsidRPr="007A185A">
        <w:rPr>
          <w:rFonts w:ascii="Arial" w:hAnsi="Arial" w:cs="Arial"/>
        </w:rPr>
        <w:t>people who are individual members of our advisory committees and other groups convened to help us with our work.</w:t>
      </w:r>
      <w:r w:rsidR="00C9175B" w:rsidRPr="007A185A">
        <w:rPr>
          <w:rFonts w:ascii="Arial" w:hAnsi="Arial" w:cs="Arial"/>
        </w:rPr>
        <w:t xml:space="preserve"> They will be termed ‘committee </w:t>
      </w:r>
      <w:proofErr w:type="gramStart"/>
      <w:r w:rsidR="00C9175B" w:rsidRPr="007A185A">
        <w:rPr>
          <w:rFonts w:ascii="Arial" w:hAnsi="Arial" w:cs="Arial"/>
        </w:rPr>
        <w:t>members’</w:t>
      </w:r>
      <w:proofErr w:type="gramEnd"/>
      <w:r w:rsidR="00C9175B" w:rsidRPr="007A185A">
        <w:rPr>
          <w:rFonts w:ascii="Arial" w:hAnsi="Arial" w:cs="Arial"/>
        </w:rPr>
        <w:t>.</w:t>
      </w:r>
      <w:r w:rsidR="006F5037" w:rsidRPr="007A185A">
        <w:rPr>
          <w:rFonts w:ascii="Arial" w:hAnsi="Arial" w:cs="Arial"/>
        </w:rPr>
        <w:t xml:space="preserve"> </w:t>
      </w:r>
      <w:r w:rsidR="00C9175B" w:rsidRPr="007A185A">
        <w:rPr>
          <w:rFonts w:ascii="Arial" w:hAnsi="Arial" w:cs="Arial"/>
        </w:rPr>
        <w:t xml:space="preserve">The policy </w:t>
      </w:r>
      <w:r w:rsidR="006F5037" w:rsidRPr="007A185A">
        <w:rPr>
          <w:rFonts w:ascii="Arial" w:hAnsi="Arial" w:cs="Arial"/>
        </w:rPr>
        <w:t>also covers people who a</w:t>
      </w:r>
      <w:r w:rsidR="00CA00DE" w:rsidRPr="007A185A">
        <w:rPr>
          <w:rFonts w:ascii="Arial" w:hAnsi="Arial" w:cs="Arial"/>
        </w:rPr>
        <w:t>tt</w:t>
      </w:r>
      <w:r w:rsidR="006F5037" w:rsidRPr="007A185A">
        <w:rPr>
          <w:rFonts w:ascii="Arial" w:hAnsi="Arial" w:cs="Arial"/>
        </w:rPr>
        <w:t>end committee meetings as experts. Meeting organisers will be explicit about whether expenses are covered when inviting people to take part in meetings.</w:t>
      </w:r>
      <w:r w:rsidRPr="007A185A">
        <w:rPr>
          <w:rFonts w:ascii="Arial" w:hAnsi="Arial" w:cs="Arial"/>
        </w:rPr>
        <w:t xml:space="preserve"> </w:t>
      </w:r>
    </w:p>
    <w:p w14:paraId="0A3BFEAE" w14:textId="77777777" w:rsidR="00CA00DE" w:rsidRDefault="00CA00DE" w:rsidP="00CA00DE">
      <w:pPr>
        <w:pStyle w:val="ListParagraph"/>
        <w:widowControl w:val="0"/>
        <w:spacing w:before="240" w:after="240" w:line="276" w:lineRule="auto"/>
        <w:ind w:left="709"/>
        <w:jc w:val="both"/>
        <w:rPr>
          <w:rFonts w:ascii="Arial" w:hAnsi="Arial" w:cs="Arial"/>
        </w:rPr>
      </w:pPr>
    </w:p>
    <w:p w14:paraId="6632F975" w14:textId="32E49193" w:rsidR="00CA00DE" w:rsidRPr="007A185A" w:rsidRDefault="00CA00DE" w:rsidP="007A185A">
      <w:pPr>
        <w:widowControl w:val="0"/>
        <w:spacing w:before="240" w:after="240" w:line="276" w:lineRule="auto"/>
        <w:jc w:val="both"/>
        <w:rPr>
          <w:rFonts w:ascii="Arial" w:hAnsi="Arial" w:cs="Arial"/>
        </w:rPr>
      </w:pPr>
      <w:r w:rsidRPr="007A185A">
        <w:rPr>
          <w:rFonts w:ascii="Arial" w:hAnsi="Arial" w:cs="Arial"/>
        </w:rPr>
        <w:t xml:space="preserve">People attending meetings as observers are not eligible to claim reimbursement of expenses. NICE staff and Non-Executive Director expenses are covered in the Board and Staff Travel reimbursement policy. </w:t>
      </w:r>
    </w:p>
    <w:p w14:paraId="03A5A07F" w14:textId="77777777" w:rsidR="00CA00DE" w:rsidRPr="00CA00DE" w:rsidRDefault="00CA00DE" w:rsidP="00CA00DE">
      <w:pPr>
        <w:pStyle w:val="ListParagraph"/>
        <w:rPr>
          <w:rFonts w:ascii="Arial" w:hAnsi="Arial" w:cs="Arial"/>
        </w:rPr>
      </w:pPr>
    </w:p>
    <w:p w14:paraId="05B1736C" w14:textId="67D7920C" w:rsidR="00CA00DE" w:rsidRPr="007A185A" w:rsidRDefault="00CA00DE" w:rsidP="007A185A">
      <w:pPr>
        <w:widowControl w:val="0"/>
        <w:spacing w:before="240" w:after="240" w:line="276" w:lineRule="auto"/>
        <w:jc w:val="both"/>
        <w:rPr>
          <w:rFonts w:ascii="Arial" w:hAnsi="Arial" w:cs="Arial"/>
        </w:rPr>
      </w:pPr>
      <w:r w:rsidRPr="007A185A">
        <w:rPr>
          <w:rFonts w:ascii="Arial" w:hAnsi="Arial" w:cs="Arial"/>
        </w:rPr>
        <w:t>Guideline committee members who are working with other bodies that contract with NICE to produce our guidance, known as our collaborating centres, should claim their expenses from the other body and not from NICE. Please note that other bodies may operate different expenses policies to NICE.</w:t>
      </w:r>
    </w:p>
    <w:p w14:paraId="24C2BF76" w14:textId="7A982782" w:rsidR="0001184D" w:rsidRPr="007A185A" w:rsidRDefault="007B63E4" w:rsidP="007A185A">
      <w:pPr>
        <w:pStyle w:val="Heading2"/>
        <w:rPr>
          <w:i w:val="0"/>
          <w:iCs w:val="0"/>
        </w:rPr>
      </w:pPr>
      <w:bookmarkStart w:id="12" w:name="_Toc44672640"/>
      <w:bookmarkStart w:id="13" w:name="_Toc44686277"/>
      <w:bookmarkStart w:id="14" w:name="_Toc67304957"/>
      <w:r w:rsidRPr="007A185A">
        <w:rPr>
          <w:i w:val="0"/>
          <w:iCs w:val="0"/>
        </w:rPr>
        <w:t>Main policy and procedural changes</w:t>
      </w:r>
      <w:bookmarkEnd w:id="12"/>
      <w:bookmarkEnd w:id="13"/>
      <w:bookmarkEnd w:id="14"/>
      <w:r w:rsidR="00526862" w:rsidRPr="007A185A">
        <w:rPr>
          <w:i w:val="0"/>
          <w:iCs w:val="0"/>
        </w:rPr>
        <w:t xml:space="preserve"> </w:t>
      </w:r>
    </w:p>
    <w:p w14:paraId="5B558A22" w14:textId="126799DA" w:rsidR="0001184D" w:rsidRPr="00A74E25" w:rsidRDefault="002644F4" w:rsidP="007A185A">
      <w:pPr>
        <w:pStyle w:val="Heading3"/>
        <w:rPr>
          <w:lang w:val="en-US"/>
        </w:rPr>
      </w:pPr>
      <w:bookmarkStart w:id="15" w:name="_Toc67304958"/>
      <w:r>
        <w:rPr>
          <w:lang w:val="en-US"/>
        </w:rPr>
        <w:t>Printing costs</w:t>
      </w:r>
      <w:bookmarkEnd w:id="15"/>
    </w:p>
    <w:p w14:paraId="5E6C53DD" w14:textId="50320F5A" w:rsidR="00E6751F" w:rsidRDefault="00E6751F" w:rsidP="007A185A">
      <w:pPr>
        <w:pStyle w:val="Paragraph"/>
        <w:numPr>
          <w:ilvl w:val="0"/>
          <w:numId w:val="0"/>
        </w:numPr>
        <w:tabs>
          <w:tab w:val="clear" w:pos="567"/>
        </w:tabs>
        <w:spacing w:before="240"/>
        <w:ind w:left="709"/>
        <w:jc w:val="both"/>
      </w:pPr>
      <w:r>
        <w:t>NICE focus on sustainability means that in the first instance all committee</w:t>
      </w:r>
      <w:r w:rsidR="00C9175B">
        <w:t xml:space="preserve">s </w:t>
      </w:r>
      <w:r>
        <w:t>should be encouraged to run paperless</w:t>
      </w:r>
      <w:r w:rsidR="00CA00DE">
        <w:t>. H</w:t>
      </w:r>
      <w:r>
        <w:t>owever</w:t>
      </w:r>
      <w:r w:rsidR="00CA00DE">
        <w:t>,</w:t>
      </w:r>
      <w:r>
        <w:t xml:space="preserve"> hard copies of papers and/or slides are required for </w:t>
      </w:r>
      <w:r w:rsidRPr="00EC7A23">
        <w:t xml:space="preserve">people with </w:t>
      </w:r>
      <w:proofErr w:type="gramStart"/>
      <w:r w:rsidRPr="00EC7A23">
        <w:t>particular needs</w:t>
      </w:r>
      <w:proofErr w:type="gramEnd"/>
      <w:r w:rsidRPr="00EC7A23">
        <w:t xml:space="preserve"> or disabilities that mean working off a screen presents problems</w:t>
      </w:r>
      <w:r w:rsidR="00CA00DE">
        <w:t>,</w:t>
      </w:r>
      <w:r>
        <w:t xml:space="preserve"> this should be accommodated</w:t>
      </w:r>
      <w:r w:rsidR="00CA00DE">
        <w:t>.</w:t>
      </w:r>
      <w:r w:rsidRPr="00F20DB3">
        <w:t xml:space="preserve"> </w:t>
      </w:r>
    </w:p>
    <w:p w14:paraId="699AAA21" w14:textId="3E20C51C" w:rsidR="004A6FE6" w:rsidRPr="00F20DB3" w:rsidRDefault="0029721B" w:rsidP="007A185A">
      <w:pPr>
        <w:pStyle w:val="Paragraph"/>
        <w:numPr>
          <w:ilvl w:val="0"/>
          <w:numId w:val="0"/>
        </w:numPr>
        <w:tabs>
          <w:tab w:val="clear" w:pos="567"/>
        </w:tabs>
        <w:spacing w:before="240"/>
        <w:ind w:left="709"/>
        <w:jc w:val="both"/>
      </w:pPr>
      <w:r>
        <w:t>Gold group</w:t>
      </w:r>
      <w:r w:rsidR="00E6751F">
        <w:t xml:space="preserve"> has agreed that whilst NICE employees are away from the offices, printing expenses will be reimbursed at a fixed rate per meeting of £5 where required. Once employees are attending the offices again, printed copies of meeting papers will be provided when requested.</w:t>
      </w:r>
    </w:p>
    <w:p w14:paraId="318C0BD6" w14:textId="39684DDE" w:rsidR="0001184D" w:rsidRPr="00F9002D" w:rsidRDefault="004A265B" w:rsidP="007A185A">
      <w:pPr>
        <w:pStyle w:val="Heading3"/>
        <w:rPr>
          <w:lang w:val="en-US"/>
        </w:rPr>
      </w:pPr>
      <w:bookmarkStart w:id="16" w:name="_Toc44686279"/>
      <w:bookmarkStart w:id="17" w:name="_Toc67304959"/>
      <w:r>
        <w:rPr>
          <w:lang w:val="en-US"/>
        </w:rPr>
        <w:t>E</w:t>
      </w:r>
      <w:r w:rsidR="0001184D" w:rsidRPr="00F9002D">
        <w:rPr>
          <w:lang w:val="en-US"/>
        </w:rPr>
        <w:t>quipment</w:t>
      </w:r>
      <w:bookmarkEnd w:id="16"/>
      <w:bookmarkEnd w:id="17"/>
    </w:p>
    <w:p w14:paraId="5A9E9443" w14:textId="2B83DDD7" w:rsidR="00015F9D" w:rsidRDefault="002644F4" w:rsidP="007A185A">
      <w:pPr>
        <w:pStyle w:val="Paragraph"/>
        <w:numPr>
          <w:ilvl w:val="0"/>
          <w:numId w:val="0"/>
        </w:numPr>
        <w:tabs>
          <w:tab w:val="clear" w:pos="567"/>
        </w:tabs>
        <w:spacing w:before="240"/>
        <w:ind w:left="709"/>
        <w:jc w:val="both"/>
      </w:pPr>
      <w:r>
        <w:t xml:space="preserve">We recognise that on rare occasions </w:t>
      </w:r>
      <w:r w:rsidR="00C9175B">
        <w:t>committee members</w:t>
      </w:r>
      <w:r>
        <w:t xml:space="preserve"> may need additional equipment to allow full participation</w:t>
      </w:r>
      <w:r w:rsidR="00691D53">
        <w:t>.</w:t>
      </w:r>
    </w:p>
    <w:p w14:paraId="43D59DB3" w14:textId="0A3695D2" w:rsidR="004A6FE6" w:rsidRDefault="0029721B" w:rsidP="007A185A">
      <w:pPr>
        <w:pStyle w:val="Paragraph"/>
        <w:numPr>
          <w:ilvl w:val="0"/>
          <w:numId w:val="0"/>
        </w:numPr>
        <w:tabs>
          <w:tab w:val="clear" w:pos="567"/>
        </w:tabs>
        <w:spacing w:before="240"/>
        <w:ind w:left="709"/>
        <w:jc w:val="both"/>
      </w:pPr>
      <w:r>
        <w:t>Gold Group</w:t>
      </w:r>
      <w:r w:rsidR="004A6FE6" w:rsidRPr="00F20DB3">
        <w:t xml:space="preserve"> have agreed that </w:t>
      </w:r>
      <w:r w:rsidR="00C9175B">
        <w:t>committee members</w:t>
      </w:r>
      <w:r w:rsidR="002644F4">
        <w:t xml:space="preserve"> </w:t>
      </w:r>
      <w:r w:rsidR="004A6FE6" w:rsidRPr="00F20DB3">
        <w:t xml:space="preserve">can purchase necessary equipment up to the value of £50 </w:t>
      </w:r>
      <w:r w:rsidR="002644F4">
        <w:t>where approval has been sought from the programme team in advance</w:t>
      </w:r>
      <w:r w:rsidR="00B15DD4">
        <w:t>. A receipt will need to be provided alongside the claim</w:t>
      </w:r>
      <w:r w:rsidR="004A265B">
        <w:t xml:space="preserve"> along with proof of prior approval</w:t>
      </w:r>
      <w:r w:rsidR="00B15DD4">
        <w:t>.</w:t>
      </w:r>
    </w:p>
    <w:p w14:paraId="05E290B5" w14:textId="771D746E" w:rsidR="00C9175B" w:rsidRDefault="00C9175B" w:rsidP="007A185A">
      <w:pPr>
        <w:pStyle w:val="Paragraph"/>
        <w:numPr>
          <w:ilvl w:val="0"/>
          <w:numId w:val="0"/>
        </w:numPr>
        <w:tabs>
          <w:tab w:val="clear" w:pos="567"/>
        </w:tabs>
        <w:spacing w:before="240"/>
        <w:ind w:left="709"/>
        <w:jc w:val="both"/>
      </w:pPr>
      <w:r>
        <w:t>Topic experts are not permitted to claim for equipment reimbursement.</w:t>
      </w:r>
    </w:p>
    <w:p w14:paraId="3ACD86AB" w14:textId="06E50355" w:rsidR="00143682" w:rsidRDefault="00143682" w:rsidP="00CA00DE">
      <w:pPr>
        <w:pStyle w:val="Paragraph"/>
        <w:numPr>
          <w:ilvl w:val="0"/>
          <w:numId w:val="0"/>
        </w:numPr>
        <w:tabs>
          <w:tab w:val="clear" w:pos="567"/>
        </w:tabs>
        <w:spacing w:before="240"/>
        <w:ind w:left="709"/>
        <w:jc w:val="both"/>
      </w:pPr>
    </w:p>
    <w:p w14:paraId="5494C336" w14:textId="524906CA" w:rsidR="00BE540C" w:rsidRPr="00514870" w:rsidRDefault="004F751D" w:rsidP="007A185A">
      <w:pPr>
        <w:pStyle w:val="Heading3"/>
      </w:pPr>
      <w:bookmarkStart w:id="18" w:name="_Toc44686280"/>
      <w:bookmarkStart w:id="19" w:name="_Toc67304960"/>
      <w:r w:rsidRPr="00514870">
        <w:t>Monitoring and review</w:t>
      </w:r>
      <w:bookmarkEnd w:id="18"/>
      <w:bookmarkEnd w:id="19"/>
    </w:p>
    <w:p w14:paraId="78A29237" w14:textId="6B1E5A2D" w:rsidR="00E65A2D" w:rsidRPr="00E65A2D" w:rsidRDefault="00BE540C" w:rsidP="007A185A">
      <w:pPr>
        <w:pStyle w:val="Paragraphnonumbers"/>
        <w:spacing w:before="240"/>
        <w:ind w:left="709"/>
        <w:jc w:val="both"/>
        <w:rPr>
          <w:b/>
          <w:bCs/>
        </w:rPr>
      </w:pPr>
      <w:r>
        <w:t xml:space="preserve">The addendum will be kept under review during the period of the COVID-19 pandemic and amended or updated in line with government advice or changes agreed by </w:t>
      </w:r>
      <w:r w:rsidR="0029721B">
        <w:t>Gold Group</w:t>
      </w:r>
      <w:r>
        <w:t>.</w:t>
      </w:r>
    </w:p>
    <w:p w14:paraId="50A18C64" w14:textId="3253C6DF" w:rsidR="00A03BAB" w:rsidRPr="007A185A" w:rsidRDefault="00E65A2D" w:rsidP="007A185A">
      <w:pPr>
        <w:pStyle w:val="Heading2"/>
        <w:rPr>
          <w:i w:val="0"/>
          <w:iCs w:val="0"/>
        </w:rPr>
      </w:pPr>
      <w:bookmarkStart w:id="20" w:name="_Toc44686281"/>
      <w:bookmarkStart w:id="21" w:name="_Toc67304961"/>
      <w:r w:rsidRPr="007A185A">
        <w:rPr>
          <w:i w:val="0"/>
          <w:iCs w:val="0"/>
        </w:rPr>
        <w:t>Related policies and procedures</w:t>
      </w:r>
      <w:bookmarkEnd w:id="20"/>
      <w:bookmarkEnd w:id="21"/>
      <w:r w:rsidR="00526862" w:rsidRPr="007A185A">
        <w:rPr>
          <w:i w:val="0"/>
          <w:iCs w:val="0"/>
        </w:rPr>
        <w:t xml:space="preserve"> </w:t>
      </w:r>
    </w:p>
    <w:p w14:paraId="405DF3C2" w14:textId="29BF4C67" w:rsidR="007E58B2" w:rsidRPr="005D28B9" w:rsidRDefault="007E58B2" w:rsidP="007A185A">
      <w:pPr>
        <w:pStyle w:val="Paragraph"/>
        <w:numPr>
          <w:ilvl w:val="0"/>
          <w:numId w:val="0"/>
        </w:numPr>
        <w:tabs>
          <w:tab w:val="clear" w:pos="567"/>
        </w:tabs>
        <w:spacing w:before="240"/>
        <w:ind w:left="709"/>
        <w:jc w:val="both"/>
        <w:rPr>
          <w:sz w:val="40"/>
          <w:szCs w:val="40"/>
        </w:rPr>
      </w:pPr>
      <w:r>
        <w:t xml:space="preserve">This addendum is </w:t>
      </w:r>
      <w:r w:rsidR="004A265B">
        <w:t xml:space="preserve">related </w:t>
      </w:r>
      <w:r>
        <w:t xml:space="preserve">to the </w:t>
      </w:r>
      <w:r w:rsidR="004A265B">
        <w:t>Board and Staff Travel and Subsistence Booking and Reimbursement P</w:t>
      </w:r>
      <w:r>
        <w:t>olicy.</w:t>
      </w:r>
    </w:p>
    <w:p w14:paraId="04781539" w14:textId="265001B3" w:rsidR="004F751D" w:rsidRDefault="004F751D" w:rsidP="00493CD4">
      <w:pPr>
        <w:pStyle w:val="Paragraphnonumbers"/>
        <w:ind w:left="720"/>
      </w:pPr>
    </w:p>
    <w:p w14:paraId="665E0A2A" w14:textId="40B8DACE" w:rsidR="00FD3A45" w:rsidRDefault="00FD3A45" w:rsidP="00493CD4">
      <w:pPr>
        <w:pStyle w:val="Paragraphnonumbers"/>
        <w:ind w:left="720"/>
      </w:pPr>
    </w:p>
    <w:p w14:paraId="0EAED9BF" w14:textId="64E41DBF" w:rsidR="00FD3A45" w:rsidRDefault="00FD3A45" w:rsidP="00493CD4">
      <w:pPr>
        <w:pStyle w:val="Paragraphnonumbers"/>
        <w:ind w:left="720"/>
      </w:pPr>
    </w:p>
    <w:p w14:paraId="1E560C6B" w14:textId="66272B27" w:rsidR="00FD3A45" w:rsidRDefault="00FD3A45" w:rsidP="00493CD4">
      <w:pPr>
        <w:pStyle w:val="Paragraphnonumbers"/>
        <w:ind w:left="720"/>
      </w:pPr>
    </w:p>
    <w:p w14:paraId="07AF5F8C" w14:textId="6DF1324F" w:rsidR="00FD3A45" w:rsidRDefault="00FD3A45" w:rsidP="00493CD4">
      <w:pPr>
        <w:pStyle w:val="Paragraphnonumbers"/>
        <w:ind w:left="720"/>
      </w:pPr>
    </w:p>
    <w:p w14:paraId="5923E03B" w14:textId="505E280D" w:rsidR="00FD3A45" w:rsidRDefault="00FD3A45" w:rsidP="00493CD4">
      <w:pPr>
        <w:pStyle w:val="Paragraphnonumbers"/>
        <w:ind w:left="720"/>
      </w:pPr>
    </w:p>
    <w:p w14:paraId="473354C9" w14:textId="17488999" w:rsidR="00FD3A45" w:rsidRDefault="00FD3A45" w:rsidP="00493CD4">
      <w:pPr>
        <w:pStyle w:val="Paragraphnonumbers"/>
        <w:ind w:left="720"/>
      </w:pPr>
    </w:p>
    <w:p w14:paraId="550B78AA" w14:textId="77777777" w:rsidR="00BC1E5D" w:rsidRDefault="00BC1E5D" w:rsidP="004A265B">
      <w:pPr>
        <w:pStyle w:val="Paragraphnonumbers"/>
        <w:spacing w:after="0"/>
        <w:jc w:val="right"/>
        <w:rPr>
          <w:b/>
        </w:rPr>
      </w:pPr>
    </w:p>
    <w:sectPr w:rsidR="00BC1E5D" w:rsidSect="0017149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5C565" w14:textId="77777777" w:rsidR="007F6B1C" w:rsidRDefault="007F6B1C" w:rsidP="00446BEE">
      <w:r>
        <w:separator/>
      </w:r>
    </w:p>
  </w:endnote>
  <w:endnote w:type="continuationSeparator" w:id="0">
    <w:p w14:paraId="195BAF63" w14:textId="77777777" w:rsidR="007F6B1C" w:rsidRDefault="007F6B1C"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E6252" w14:textId="2EA558E4" w:rsidR="00D33B3B" w:rsidRPr="00FE14AF" w:rsidRDefault="00475DED" w:rsidP="00FE14AF">
    <w:pPr>
      <w:pStyle w:val="Footer"/>
      <w:tabs>
        <w:tab w:val="center" w:pos="6379"/>
      </w:tabs>
      <w:ind w:left="-426" w:firstLine="426"/>
      <w:rPr>
        <w:bCs/>
      </w:rPr>
    </w:pPr>
    <w:r>
      <w:rPr>
        <w:bCs/>
      </w:rPr>
      <w:t xml:space="preserve">Non-Staff </w:t>
    </w:r>
    <w:r w:rsidR="00FE14AF" w:rsidRPr="00FE14AF">
      <w:rPr>
        <w:bCs/>
      </w:rPr>
      <w:t>Reimbursement Policy</w:t>
    </w:r>
    <w:r w:rsidR="00DC3F77">
      <w:t xml:space="preserve"> Addendum</w:t>
    </w:r>
    <w:r w:rsidR="00D33B3B">
      <w:tab/>
    </w:r>
    <w:r w:rsidR="00D33B3B">
      <w:fldChar w:fldCharType="begin"/>
    </w:r>
    <w:r w:rsidR="00D33B3B">
      <w:instrText xml:space="preserve"> PAGE </w:instrText>
    </w:r>
    <w:r w:rsidR="00D33B3B">
      <w:fldChar w:fldCharType="separate"/>
    </w:r>
    <w:r w:rsidR="0021516D">
      <w:rPr>
        <w:noProof/>
      </w:rPr>
      <w:t>2</w:t>
    </w:r>
    <w:r w:rsidR="00D33B3B">
      <w:fldChar w:fldCharType="end"/>
    </w:r>
    <w:r w:rsidR="00D33B3B">
      <w:t xml:space="preserve"> of </w:t>
    </w:r>
    <w:r w:rsidR="0081241E">
      <w:rPr>
        <w:noProof/>
      </w:rPr>
      <w:fldChar w:fldCharType="begin"/>
    </w:r>
    <w:r w:rsidR="0081241E">
      <w:rPr>
        <w:noProof/>
      </w:rPr>
      <w:instrText xml:space="preserve"> NUMPAGES  </w:instrText>
    </w:r>
    <w:r w:rsidR="0081241E">
      <w:rPr>
        <w:noProof/>
      </w:rPr>
      <w:fldChar w:fldCharType="separate"/>
    </w:r>
    <w:r w:rsidR="0021516D">
      <w:rPr>
        <w:noProof/>
      </w:rPr>
      <w:t>12</w:t>
    </w:r>
    <w:r w:rsidR="0081241E">
      <w:rPr>
        <w:noProof/>
      </w:rPr>
      <w:fldChar w:fldCharType="end"/>
    </w:r>
  </w:p>
  <w:p w14:paraId="2E8EDA41" w14:textId="3562DBF3" w:rsidR="00D33B3B" w:rsidRDefault="004A265B">
    <w:pPr>
      <w:pStyle w:val="Footer"/>
    </w:pPr>
    <w:r>
      <w:rPr>
        <w:noProof/>
      </w:rPr>
      <w:t>September</w:t>
    </w:r>
    <w:r w:rsidR="00EF062C">
      <w:rPr>
        <w:noProof/>
      </w:rPr>
      <w:t xml:space="preserve"> 20</w:t>
    </w:r>
    <w:r w:rsidR="00DC3F77">
      <w:rPr>
        <w:noProof/>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F781D" w14:textId="77777777" w:rsidR="007F6B1C" w:rsidRDefault="007F6B1C" w:rsidP="00446BEE">
      <w:r>
        <w:separator/>
      </w:r>
    </w:p>
  </w:footnote>
  <w:footnote w:type="continuationSeparator" w:id="0">
    <w:p w14:paraId="76BD1E5C" w14:textId="77777777" w:rsidR="007F6B1C" w:rsidRDefault="007F6B1C"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2147B" w14:textId="4837832F" w:rsidR="00D67F25" w:rsidRDefault="00D67F25">
    <w:pPr>
      <w:pStyle w:val="Header"/>
    </w:pPr>
    <w:r w:rsidRPr="00514870">
      <w:rPr>
        <w:noProof/>
        <w:color w:val="31849B" w:themeColor="accent5" w:themeShade="BF"/>
        <w:sz w:val="40"/>
        <w:szCs w:val="44"/>
      </w:rPr>
      <w:drawing>
        <wp:inline distT="0" distB="0" distL="0" distR="0" wp14:anchorId="13A89F7A" wp14:editId="459A29D0">
          <wp:extent cx="2689225" cy="266700"/>
          <wp:effectExtent l="0" t="0" r="0" b="0"/>
          <wp:docPr id="1" name="Picture 3" descr="Logo - 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Logo - NICE"/>
                  <pic:cNvPicPr>
                    <a:picLocks noChangeAspect="1" noChangeArrowheads="1"/>
                  </pic:cNvPicPr>
                </pic:nvPicPr>
                <pic:blipFill>
                  <a:blip r:embed="rId1"/>
                  <a:srcRect/>
                  <a:stretch>
                    <a:fillRect/>
                  </a:stretch>
                </pic:blipFill>
                <pic:spPr bwMode="auto">
                  <a:xfrm>
                    <a:off x="0" y="0"/>
                    <a:ext cx="2689225" cy="266700"/>
                  </a:xfrm>
                  <a:prstGeom prst="rect">
                    <a:avLst/>
                  </a:prstGeom>
                  <a:noFill/>
                </pic:spPr>
              </pic:pic>
            </a:graphicData>
          </a:graphic>
        </wp:inline>
      </w:drawing>
    </w:r>
  </w:p>
  <w:p w14:paraId="3D9B04B6" w14:textId="77777777" w:rsidR="00D67F25" w:rsidRDefault="00D67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90916"/>
    <w:multiLevelType w:val="hybridMultilevel"/>
    <w:tmpl w:val="7FE011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5C5DEA"/>
    <w:multiLevelType w:val="hybridMultilevel"/>
    <w:tmpl w:val="59B2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6A65E9"/>
    <w:multiLevelType w:val="hybridMultilevel"/>
    <w:tmpl w:val="65C48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7C2071"/>
    <w:multiLevelType w:val="hybridMultilevel"/>
    <w:tmpl w:val="6EEA9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4F37C3"/>
    <w:multiLevelType w:val="hybridMultilevel"/>
    <w:tmpl w:val="EA8C885A"/>
    <w:lvl w:ilvl="0" w:tplc="22A2EBF6">
      <w:start w:val="1"/>
      <w:numFmt w:val="decimal"/>
      <w:lvlText w:val="%1."/>
      <w:lvlJc w:val="left"/>
      <w:pPr>
        <w:ind w:left="720" w:hanging="360"/>
      </w:pPr>
      <w:rPr>
        <w:rFonts w:hint="default"/>
        <w:b w:val="0"/>
        <w:bCs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015FC6"/>
    <w:multiLevelType w:val="multilevel"/>
    <w:tmpl w:val="18140818"/>
    <w:lvl w:ilvl="0">
      <w:start w:val="1"/>
      <w:numFmt w:val="none"/>
      <w:suff w:val="nothing"/>
      <w:lvlText w:val="%1"/>
      <w:lvlJc w:val="left"/>
      <w:pPr>
        <w:ind w:left="0" w:firstLine="0"/>
      </w:pPr>
      <w:rPr>
        <w:rFonts w:ascii="Arial" w:hAnsi="Arial" w:hint="default"/>
        <w:sz w:val="24"/>
      </w:rPr>
    </w:lvl>
    <w:lvl w:ilvl="1">
      <w:start w:val="1"/>
      <w:numFmt w:val="decimal"/>
      <w:lvlText w:val="%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AF6CD4"/>
    <w:multiLevelType w:val="hybridMultilevel"/>
    <w:tmpl w:val="C092126E"/>
    <w:lvl w:ilvl="0" w:tplc="22A2EBF6">
      <w:start w:val="1"/>
      <w:numFmt w:val="decimal"/>
      <w:lvlText w:val="%1."/>
      <w:lvlJc w:val="left"/>
      <w:pPr>
        <w:ind w:left="720" w:hanging="360"/>
      </w:pPr>
      <w:rPr>
        <w:rFonts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5F44D4"/>
    <w:multiLevelType w:val="hybridMultilevel"/>
    <w:tmpl w:val="692E64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6A62C3"/>
    <w:multiLevelType w:val="hybridMultilevel"/>
    <w:tmpl w:val="5A54A76A"/>
    <w:lvl w:ilvl="0" w:tplc="22A2EBF6">
      <w:start w:val="1"/>
      <w:numFmt w:val="decimal"/>
      <w:lvlText w:val="%1."/>
      <w:lvlJc w:val="left"/>
      <w:pPr>
        <w:ind w:left="720" w:hanging="360"/>
      </w:pPr>
      <w:rPr>
        <w:rFonts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981E57"/>
    <w:multiLevelType w:val="hybridMultilevel"/>
    <w:tmpl w:val="5366FF94"/>
    <w:lvl w:ilvl="0" w:tplc="6E02B636">
      <w:start w:val="1"/>
      <w:numFmt w:val="decimal"/>
      <w:lvlText w:val="%1."/>
      <w:lvlJc w:val="left"/>
      <w:pPr>
        <w:ind w:left="501" w:hanging="360"/>
      </w:pPr>
      <w:rPr>
        <w:rFonts w:ascii="Arial" w:hAnsi="Arial" w:cs="Arial" w:hint="default"/>
        <w:b w:val="0"/>
        <w:bCs w:val="0"/>
        <w:color w:val="auto"/>
        <w:sz w:val="24"/>
        <w:szCs w:val="24"/>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836A0A"/>
    <w:multiLevelType w:val="hybridMultilevel"/>
    <w:tmpl w:val="2280D1FE"/>
    <w:lvl w:ilvl="0" w:tplc="1C60D08A">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4EA796A"/>
    <w:multiLevelType w:val="hybridMultilevel"/>
    <w:tmpl w:val="73C6F8EE"/>
    <w:lvl w:ilvl="0" w:tplc="A2F04D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4872BB"/>
    <w:multiLevelType w:val="hybridMultilevel"/>
    <w:tmpl w:val="991AE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3"/>
  </w:num>
  <w:num w:numId="3">
    <w:abstractNumId w:val="23"/>
    <w:lvlOverride w:ilvl="0">
      <w:startOverride w:val="1"/>
    </w:lvlOverride>
  </w:num>
  <w:num w:numId="4">
    <w:abstractNumId w:val="23"/>
    <w:lvlOverride w:ilvl="0">
      <w:startOverride w:val="1"/>
    </w:lvlOverride>
  </w:num>
  <w:num w:numId="5">
    <w:abstractNumId w:val="23"/>
    <w:lvlOverride w:ilvl="0">
      <w:startOverride w:val="1"/>
    </w:lvlOverride>
  </w:num>
  <w:num w:numId="6">
    <w:abstractNumId w:val="23"/>
    <w:lvlOverride w:ilvl="0">
      <w:startOverride w:val="1"/>
    </w:lvlOverride>
  </w:num>
  <w:num w:numId="7">
    <w:abstractNumId w:val="23"/>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5"/>
    <w:lvlOverride w:ilvl="0">
      <w:startOverride w:val="1"/>
    </w:lvlOverride>
  </w:num>
  <w:num w:numId="20">
    <w:abstractNumId w:val="13"/>
  </w:num>
  <w:num w:numId="21">
    <w:abstractNumId w:val="25"/>
  </w:num>
  <w:num w:numId="22">
    <w:abstractNumId w:val="26"/>
  </w:num>
  <w:num w:numId="23">
    <w:abstractNumId w:val="19"/>
  </w:num>
  <w:num w:numId="24">
    <w:abstractNumId w:val="11"/>
  </w:num>
  <w:num w:numId="25">
    <w:abstractNumId w:val="10"/>
  </w:num>
  <w:num w:numId="26">
    <w:abstractNumId w:val="24"/>
  </w:num>
  <w:num w:numId="27">
    <w:abstractNumId w:val="21"/>
  </w:num>
  <w:num w:numId="28">
    <w:abstractNumId w:val="12"/>
  </w:num>
  <w:num w:numId="29">
    <w:abstractNumId w:val="14"/>
  </w:num>
  <w:num w:numId="30">
    <w:abstractNumId w:val="20"/>
  </w:num>
  <w:num w:numId="31">
    <w:abstractNumId w:val="16"/>
  </w:num>
  <w:num w:numId="32">
    <w:abstractNumId w:val="18"/>
  </w:num>
  <w:num w:numId="33">
    <w:abstractNumId w:val="17"/>
  </w:num>
  <w:num w:numId="34">
    <w:abstractNumId w:val="13"/>
  </w:num>
  <w:num w:numId="35">
    <w:abstractNumId w:val="13"/>
  </w:num>
  <w:num w:numId="3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BA7"/>
    <w:rsid w:val="00000F2F"/>
    <w:rsid w:val="0000357B"/>
    <w:rsid w:val="000053F8"/>
    <w:rsid w:val="00011222"/>
    <w:rsid w:val="0001184D"/>
    <w:rsid w:val="00015E31"/>
    <w:rsid w:val="00015F9D"/>
    <w:rsid w:val="000239F6"/>
    <w:rsid w:val="00024D0A"/>
    <w:rsid w:val="00031857"/>
    <w:rsid w:val="000472DC"/>
    <w:rsid w:val="000520D4"/>
    <w:rsid w:val="00070065"/>
    <w:rsid w:val="00074BA7"/>
    <w:rsid w:val="0007755B"/>
    <w:rsid w:val="00090C40"/>
    <w:rsid w:val="00096995"/>
    <w:rsid w:val="000A4FEE"/>
    <w:rsid w:val="000B5939"/>
    <w:rsid w:val="000C46AE"/>
    <w:rsid w:val="000C6964"/>
    <w:rsid w:val="000D4F14"/>
    <w:rsid w:val="000E43B1"/>
    <w:rsid w:val="000E7BDF"/>
    <w:rsid w:val="000F6627"/>
    <w:rsid w:val="000F7CD2"/>
    <w:rsid w:val="00111CCE"/>
    <w:rsid w:val="001134E7"/>
    <w:rsid w:val="001249BB"/>
    <w:rsid w:val="00125FE5"/>
    <w:rsid w:val="00127824"/>
    <w:rsid w:val="00143682"/>
    <w:rsid w:val="00164999"/>
    <w:rsid w:val="0017149E"/>
    <w:rsid w:val="0017169E"/>
    <w:rsid w:val="001813F6"/>
    <w:rsid w:val="00181A4A"/>
    <w:rsid w:val="001829F8"/>
    <w:rsid w:val="00184AA6"/>
    <w:rsid w:val="00196A4A"/>
    <w:rsid w:val="00197C1E"/>
    <w:rsid w:val="001B0EE9"/>
    <w:rsid w:val="001B65B3"/>
    <w:rsid w:val="001D689A"/>
    <w:rsid w:val="001E05B2"/>
    <w:rsid w:val="001F1904"/>
    <w:rsid w:val="001F1AD3"/>
    <w:rsid w:val="002029A6"/>
    <w:rsid w:val="0021516D"/>
    <w:rsid w:val="00235EE0"/>
    <w:rsid w:val="002408EA"/>
    <w:rsid w:val="00251ED6"/>
    <w:rsid w:val="002644F4"/>
    <w:rsid w:val="002819D7"/>
    <w:rsid w:val="00286F35"/>
    <w:rsid w:val="00294716"/>
    <w:rsid w:val="0029721B"/>
    <w:rsid w:val="002B720B"/>
    <w:rsid w:val="002C1A7E"/>
    <w:rsid w:val="002C513E"/>
    <w:rsid w:val="002D2651"/>
    <w:rsid w:val="002D3376"/>
    <w:rsid w:val="002D467A"/>
    <w:rsid w:val="002F368A"/>
    <w:rsid w:val="002F6A3E"/>
    <w:rsid w:val="003012D8"/>
    <w:rsid w:val="00311ED0"/>
    <w:rsid w:val="0031771D"/>
    <w:rsid w:val="00321BC9"/>
    <w:rsid w:val="003448ED"/>
    <w:rsid w:val="003473EB"/>
    <w:rsid w:val="003508F1"/>
    <w:rsid w:val="003545A8"/>
    <w:rsid w:val="00357CA5"/>
    <w:rsid w:val="003648C5"/>
    <w:rsid w:val="00367D4D"/>
    <w:rsid w:val="003722FA"/>
    <w:rsid w:val="003963B9"/>
    <w:rsid w:val="003A0153"/>
    <w:rsid w:val="003A3778"/>
    <w:rsid w:val="003A7756"/>
    <w:rsid w:val="003C7AAF"/>
    <w:rsid w:val="003D6FC1"/>
    <w:rsid w:val="003E1151"/>
    <w:rsid w:val="003F0C15"/>
    <w:rsid w:val="00404171"/>
    <w:rsid w:val="00406D2C"/>
    <w:rsid w:val="004075B6"/>
    <w:rsid w:val="004109DD"/>
    <w:rsid w:val="0041435B"/>
    <w:rsid w:val="00420952"/>
    <w:rsid w:val="004329DD"/>
    <w:rsid w:val="004330FF"/>
    <w:rsid w:val="00433EFF"/>
    <w:rsid w:val="004419DC"/>
    <w:rsid w:val="00443081"/>
    <w:rsid w:val="00443C8E"/>
    <w:rsid w:val="00446BEE"/>
    <w:rsid w:val="00460D4E"/>
    <w:rsid w:val="00466450"/>
    <w:rsid w:val="00466F02"/>
    <w:rsid w:val="00475DED"/>
    <w:rsid w:val="00476E7B"/>
    <w:rsid w:val="004813E9"/>
    <w:rsid w:val="00493CD4"/>
    <w:rsid w:val="00495539"/>
    <w:rsid w:val="004A265B"/>
    <w:rsid w:val="004A67C5"/>
    <w:rsid w:val="004A6FE6"/>
    <w:rsid w:val="004B540B"/>
    <w:rsid w:val="004B5EE4"/>
    <w:rsid w:val="004C1E3B"/>
    <w:rsid w:val="004D71D8"/>
    <w:rsid w:val="004E3FE1"/>
    <w:rsid w:val="004F64AE"/>
    <w:rsid w:val="004F751D"/>
    <w:rsid w:val="0050036C"/>
    <w:rsid w:val="005025A1"/>
    <w:rsid w:val="005054CC"/>
    <w:rsid w:val="005069D1"/>
    <w:rsid w:val="00512431"/>
    <w:rsid w:val="00514870"/>
    <w:rsid w:val="00526862"/>
    <w:rsid w:val="00526EF9"/>
    <w:rsid w:val="00572EB0"/>
    <w:rsid w:val="005A06DE"/>
    <w:rsid w:val="005B188F"/>
    <w:rsid w:val="005C07E3"/>
    <w:rsid w:val="005C30EE"/>
    <w:rsid w:val="005C76FA"/>
    <w:rsid w:val="005D2283"/>
    <w:rsid w:val="005D28B9"/>
    <w:rsid w:val="005E3C4D"/>
    <w:rsid w:val="00603E0E"/>
    <w:rsid w:val="00606071"/>
    <w:rsid w:val="006075E5"/>
    <w:rsid w:val="00614FB4"/>
    <w:rsid w:val="00615043"/>
    <w:rsid w:val="006538B6"/>
    <w:rsid w:val="00654E8D"/>
    <w:rsid w:val="006570B2"/>
    <w:rsid w:val="006610B7"/>
    <w:rsid w:val="00666ED2"/>
    <w:rsid w:val="00674F94"/>
    <w:rsid w:val="00677585"/>
    <w:rsid w:val="00686EAD"/>
    <w:rsid w:val="00691D53"/>
    <w:rsid w:val="006921E1"/>
    <w:rsid w:val="006926E5"/>
    <w:rsid w:val="006968C5"/>
    <w:rsid w:val="006A124A"/>
    <w:rsid w:val="006B309B"/>
    <w:rsid w:val="006B3840"/>
    <w:rsid w:val="006C14D6"/>
    <w:rsid w:val="006C4FFE"/>
    <w:rsid w:val="006D17FE"/>
    <w:rsid w:val="006E00B9"/>
    <w:rsid w:val="006F0738"/>
    <w:rsid w:val="006F2DF4"/>
    <w:rsid w:val="006F4B25"/>
    <w:rsid w:val="006F5037"/>
    <w:rsid w:val="006F6496"/>
    <w:rsid w:val="006F791A"/>
    <w:rsid w:val="00700C2D"/>
    <w:rsid w:val="00703F54"/>
    <w:rsid w:val="00705F6B"/>
    <w:rsid w:val="00736348"/>
    <w:rsid w:val="007467D2"/>
    <w:rsid w:val="007477B8"/>
    <w:rsid w:val="00754EB5"/>
    <w:rsid w:val="007602F3"/>
    <w:rsid w:val="00760908"/>
    <w:rsid w:val="00777E29"/>
    <w:rsid w:val="00787E19"/>
    <w:rsid w:val="007A185A"/>
    <w:rsid w:val="007A194A"/>
    <w:rsid w:val="007A4485"/>
    <w:rsid w:val="007B63E4"/>
    <w:rsid w:val="007C1C9E"/>
    <w:rsid w:val="007C2302"/>
    <w:rsid w:val="007E4175"/>
    <w:rsid w:val="007E50A1"/>
    <w:rsid w:val="007E58B2"/>
    <w:rsid w:val="007F0F77"/>
    <w:rsid w:val="007F238D"/>
    <w:rsid w:val="007F6B1C"/>
    <w:rsid w:val="00811902"/>
    <w:rsid w:val="0081241E"/>
    <w:rsid w:val="00815BA6"/>
    <w:rsid w:val="00823CEA"/>
    <w:rsid w:val="00830F83"/>
    <w:rsid w:val="00861B92"/>
    <w:rsid w:val="0086502D"/>
    <w:rsid w:val="00866330"/>
    <w:rsid w:val="00871594"/>
    <w:rsid w:val="00873921"/>
    <w:rsid w:val="008814FB"/>
    <w:rsid w:val="008815CE"/>
    <w:rsid w:val="00884B6C"/>
    <w:rsid w:val="008946F7"/>
    <w:rsid w:val="008B02C2"/>
    <w:rsid w:val="008C4B44"/>
    <w:rsid w:val="008C7E5B"/>
    <w:rsid w:val="008D1BB2"/>
    <w:rsid w:val="008E0551"/>
    <w:rsid w:val="008F5E30"/>
    <w:rsid w:val="00914D7F"/>
    <w:rsid w:val="009379ED"/>
    <w:rsid w:val="0094194F"/>
    <w:rsid w:val="00952207"/>
    <w:rsid w:val="00956071"/>
    <w:rsid w:val="00985F6B"/>
    <w:rsid w:val="009938F2"/>
    <w:rsid w:val="009B75C5"/>
    <w:rsid w:val="009C3383"/>
    <w:rsid w:val="009E680B"/>
    <w:rsid w:val="009F19E6"/>
    <w:rsid w:val="00A00C8E"/>
    <w:rsid w:val="00A014F2"/>
    <w:rsid w:val="00A0275C"/>
    <w:rsid w:val="00A03BAB"/>
    <w:rsid w:val="00A15A1F"/>
    <w:rsid w:val="00A21170"/>
    <w:rsid w:val="00A22B88"/>
    <w:rsid w:val="00A3325A"/>
    <w:rsid w:val="00A43013"/>
    <w:rsid w:val="00A62317"/>
    <w:rsid w:val="00A62CE0"/>
    <w:rsid w:val="00A9571D"/>
    <w:rsid w:val="00A95822"/>
    <w:rsid w:val="00A968C1"/>
    <w:rsid w:val="00AA5DB2"/>
    <w:rsid w:val="00AB0166"/>
    <w:rsid w:val="00AC3FB5"/>
    <w:rsid w:val="00AC3FD4"/>
    <w:rsid w:val="00AD1E63"/>
    <w:rsid w:val="00AD6121"/>
    <w:rsid w:val="00AE2BCB"/>
    <w:rsid w:val="00AE2E6B"/>
    <w:rsid w:val="00AF108A"/>
    <w:rsid w:val="00AF2B59"/>
    <w:rsid w:val="00B02E55"/>
    <w:rsid w:val="00B036C1"/>
    <w:rsid w:val="00B15DD4"/>
    <w:rsid w:val="00B20A83"/>
    <w:rsid w:val="00B352B2"/>
    <w:rsid w:val="00B42DAA"/>
    <w:rsid w:val="00B4470A"/>
    <w:rsid w:val="00B5431F"/>
    <w:rsid w:val="00B556AD"/>
    <w:rsid w:val="00B64127"/>
    <w:rsid w:val="00B80139"/>
    <w:rsid w:val="00BC1E5D"/>
    <w:rsid w:val="00BD29DC"/>
    <w:rsid w:val="00BD592F"/>
    <w:rsid w:val="00BE540C"/>
    <w:rsid w:val="00BF55F5"/>
    <w:rsid w:val="00BF7FE0"/>
    <w:rsid w:val="00C017E3"/>
    <w:rsid w:val="00C042B4"/>
    <w:rsid w:val="00C057CE"/>
    <w:rsid w:val="00C11ECD"/>
    <w:rsid w:val="00C54371"/>
    <w:rsid w:val="00C6043A"/>
    <w:rsid w:val="00C81104"/>
    <w:rsid w:val="00C83809"/>
    <w:rsid w:val="00C9019B"/>
    <w:rsid w:val="00C9175B"/>
    <w:rsid w:val="00C96411"/>
    <w:rsid w:val="00CA00DE"/>
    <w:rsid w:val="00CA07FD"/>
    <w:rsid w:val="00CA34F0"/>
    <w:rsid w:val="00CB5671"/>
    <w:rsid w:val="00CC2385"/>
    <w:rsid w:val="00CF425B"/>
    <w:rsid w:val="00CF4D18"/>
    <w:rsid w:val="00CF58B7"/>
    <w:rsid w:val="00D07F76"/>
    <w:rsid w:val="00D33B3B"/>
    <w:rsid w:val="00D351C1"/>
    <w:rsid w:val="00D35EFB"/>
    <w:rsid w:val="00D473BA"/>
    <w:rsid w:val="00D504B3"/>
    <w:rsid w:val="00D6665A"/>
    <w:rsid w:val="00D67F25"/>
    <w:rsid w:val="00D70630"/>
    <w:rsid w:val="00D7416F"/>
    <w:rsid w:val="00D7420D"/>
    <w:rsid w:val="00D82B71"/>
    <w:rsid w:val="00D86BF0"/>
    <w:rsid w:val="00D90C57"/>
    <w:rsid w:val="00D97F9A"/>
    <w:rsid w:val="00DC3F77"/>
    <w:rsid w:val="00DD4997"/>
    <w:rsid w:val="00DE65C0"/>
    <w:rsid w:val="00DF0C24"/>
    <w:rsid w:val="00DF42C1"/>
    <w:rsid w:val="00DF6ED7"/>
    <w:rsid w:val="00E06850"/>
    <w:rsid w:val="00E07BEE"/>
    <w:rsid w:val="00E107F4"/>
    <w:rsid w:val="00E22898"/>
    <w:rsid w:val="00E34DFA"/>
    <w:rsid w:val="00E50E41"/>
    <w:rsid w:val="00E51920"/>
    <w:rsid w:val="00E64120"/>
    <w:rsid w:val="00E65A2D"/>
    <w:rsid w:val="00E660A1"/>
    <w:rsid w:val="00E6751F"/>
    <w:rsid w:val="00E81C9B"/>
    <w:rsid w:val="00EA3CCF"/>
    <w:rsid w:val="00EB647E"/>
    <w:rsid w:val="00ED66DA"/>
    <w:rsid w:val="00EE3DB0"/>
    <w:rsid w:val="00EE4461"/>
    <w:rsid w:val="00EF062C"/>
    <w:rsid w:val="00EF4CE6"/>
    <w:rsid w:val="00F055F1"/>
    <w:rsid w:val="00F13982"/>
    <w:rsid w:val="00F33D5C"/>
    <w:rsid w:val="00F532F7"/>
    <w:rsid w:val="00F610AF"/>
    <w:rsid w:val="00F6739A"/>
    <w:rsid w:val="00F67A50"/>
    <w:rsid w:val="00F868D7"/>
    <w:rsid w:val="00FA2C5A"/>
    <w:rsid w:val="00FB0A53"/>
    <w:rsid w:val="00FB53DA"/>
    <w:rsid w:val="00FC2D11"/>
    <w:rsid w:val="00FC6230"/>
    <w:rsid w:val="00FD3256"/>
    <w:rsid w:val="00FD3A45"/>
    <w:rsid w:val="00FE14AF"/>
    <w:rsid w:val="00FE4D55"/>
    <w:rsid w:val="00FF61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267C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pPr>
  </w:style>
  <w:style w:type="paragraph" w:styleId="Title">
    <w:name w:val="Title"/>
    <w:basedOn w:val="Normal"/>
    <w:next w:val="Heading1"/>
    <w:link w:val="TitleChar"/>
    <w:qFormat/>
    <w:rsid w:val="00CB5671"/>
    <w:pPr>
      <w:spacing w:before="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uiPriority w:val="39"/>
    <w:rsid w:val="00705F6B"/>
    <w:pPr>
      <w:tabs>
        <w:tab w:val="right" w:leader="dot" w:pos="9016"/>
      </w:tabs>
      <w:spacing w:before="100" w:beforeAutospacing="1"/>
    </w:pPr>
    <w:rPr>
      <w:rFonts w:ascii="Arial" w:eastAsiaTheme="minorEastAsia" w:hAnsi="Arial" w:cs="Arial"/>
      <w:noProof/>
    </w:rPr>
  </w:style>
  <w:style w:type="paragraph" w:styleId="TOC2">
    <w:name w:val="toc 2"/>
    <w:basedOn w:val="Normal"/>
    <w:next w:val="Normal"/>
    <w:autoRedefine/>
    <w:uiPriority w:val="39"/>
    <w:rsid w:val="00F610AF"/>
    <w:pPr>
      <w:ind w:left="240"/>
    </w:pPr>
    <w:rPr>
      <w:rFonts w:ascii="Arial" w:hAnsi="Arial"/>
    </w:rPr>
  </w:style>
  <w:style w:type="paragraph" w:styleId="TOC3">
    <w:name w:val="toc 3"/>
    <w:basedOn w:val="Normal"/>
    <w:next w:val="Normal"/>
    <w:autoRedefine/>
    <w:uiPriority w:val="39"/>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NICEnormal">
    <w:name w:val="NICE normal"/>
    <w:rsid w:val="00074BA7"/>
    <w:pPr>
      <w:spacing w:after="240"/>
    </w:pPr>
    <w:rPr>
      <w:rFonts w:ascii="Arial" w:hAnsi="Arial"/>
      <w:sz w:val="24"/>
      <w:szCs w:val="24"/>
      <w:lang w:val="en-US" w:eastAsia="en-US"/>
    </w:rPr>
  </w:style>
  <w:style w:type="table" w:styleId="TableGrid">
    <w:name w:val="Table Grid"/>
    <w:basedOn w:val="TableNormal"/>
    <w:rsid w:val="008E0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5BA6"/>
    <w:pPr>
      <w:ind w:left="720"/>
      <w:contextualSpacing/>
    </w:pPr>
  </w:style>
  <w:style w:type="character" w:styleId="CommentReference">
    <w:name w:val="annotation reference"/>
    <w:basedOn w:val="DefaultParagraphFont"/>
    <w:semiHidden/>
    <w:unhideWhenUsed/>
    <w:rsid w:val="00286F35"/>
    <w:rPr>
      <w:sz w:val="16"/>
      <w:szCs w:val="16"/>
    </w:rPr>
  </w:style>
  <w:style w:type="paragraph" w:styleId="CommentText">
    <w:name w:val="annotation text"/>
    <w:basedOn w:val="Normal"/>
    <w:link w:val="CommentTextChar"/>
    <w:semiHidden/>
    <w:unhideWhenUsed/>
    <w:rsid w:val="00286F35"/>
    <w:rPr>
      <w:sz w:val="20"/>
      <w:szCs w:val="20"/>
    </w:rPr>
  </w:style>
  <w:style w:type="character" w:customStyle="1" w:styleId="CommentTextChar">
    <w:name w:val="Comment Text Char"/>
    <w:basedOn w:val="DefaultParagraphFont"/>
    <w:link w:val="CommentText"/>
    <w:semiHidden/>
    <w:rsid w:val="00286F35"/>
  </w:style>
  <w:style w:type="paragraph" w:styleId="CommentSubject">
    <w:name w:val="annotation subject"/>
    <w:basedOn w:val="CommentText"/>
    <w:next w:val="CommentText"/>
    <w:link w:val="CommentSubjectChar"/>
    <w:semiHidden/>
    <w:unhideWhenUsed/>
    <w:rsid w:val="00286F35"/>
    <w:rPr>
      <w:b/>
      <w:bCs/>
    </w:rPr>
  </w:style>
  <w:style w:type="character" w:customStyle="1" w:styleId="CommentSubjectChar">
    <w:name w:val="Comment Subject Char"/>
    <w:basedOn w:val="CommentTextChar"/>
    <w:link w:val="CommentSubject"/>
    <w:semiHidden/>
    <w:rsid w:val="00286F35"/>
    <w:rPr>
      <w:b/>
      <w:bCs/>
    </w:rPr>
  </w:style>
  <w:style w:type="paragraph" w:styleId="Revision">
    <w:name w:val="Revision"/>
    <w:hidden/>
    <w:uiPriority w:val="99"/>
    <w:semiHidden/>
    <w:rsid w:val="00CF425B"/>
    <w:rPr>
      <w:sz w:val="24"/>
      <w:szCs w:val="24"/>
    </w:rPr>
  </w:style>
  <w:style w:type="paragraph" w:styleId="FootnoteText">
    <w:name w:val="footnote text"/>
    <w:basedOn w:val="Normal"/>
    <w:link w:val="FootnoteTextChar"/>
    <w:uiPriority w:val="99"/>
    <w:semiHidden/>
    <w:unhideWhenUsed/>
    <w:rsid w:val="00357CA5"/>
    <w:pPr>
      <w:spacing w:before="200" w:after="200"/>
      <w:jc w:val="both"/>
    </w:pPr>
    <w:rPr>
      <w:rFonts w:ascii="Arial" w:eastAsia="Calibri" w:hAnsi="Arial" w:cs="Arial"/>
      <w:sz w:val="20"/>
      <w:szCs w:val="20"/>
    </w:rPr>
  </w:style>
  <w:style w:type="character" w:customStyle="1" w:styleId="FootnoteTextChar">
    <w:name w:val="Footnote Text Char"/>
    <w:basedOn w:val="DefaultParagraphFont"/>
    <w:link w:val="FootnoteText"/>
    <w:uiPriority w:val="99"/>
    <w:semiHidden/>
    <w:rsid w:val="00357CA5"/>
    <w:rPr>
      <w:rFonts w:ascii="Arial" w:eastAsia="Calibri" w:hAnsi="Arial" w:cs="Arial"/>
    </w:rPr>
  </w:style>
  <w:style w:type="character" w:styleId="FootnoteReference">
    <w:name w:val="footnote reference"/>
    <w:uiPriority w:val="99"/>
    <w:semiHidden/>
    <w:unhideWhenUsed/>
    <w:rsid w:val="00357CA5"/>
    <w:rPr>
      <w:vertAlign w:val="superscript"/>
    </w:rPr>
  </w:style>
  <w:style w:type="paragraph" w:customStyle="1" w:styleId="Default">
    <w:name w:val="Default"/>
    <w:rsid w:val="004329DD"/>
    <w:pPr>
      <w:widowControl w:val="0"/>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4329DD"/>
    <w:rPr>
      <w:color w:val="0000FF" w:themeColor="hyperlink"/>
      <w:u w:val="single"/>
    </w:rPr>
  </w:style>
  <w:style w:type="table" w:styleId="GridTable4-Accent1">
    <w:name w:val="Grid Table 4 Accent 1"/>
    <w:basedOn w:val="TableNormal"/>
    <w:uiPriority w:val="49"/>
    <w:rsid w:val="0001184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rsid w:val="004F75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7420D"/>
    <w:pPr>
      <w:keepLines/>
      <w:spacing w:before="240" w:after="0"/>
      <w:outlineLvl w:val="9"/>
    </w:pPr>
    <w:rPr>
      <w:rFonts w:asciiTheme="majorHAnsi" w:eastAsiaTheme="majorEastAsia" w:hAnsiTheme="majorHAnsi" w:cstheme="majorBidi"/>
      <w:b w:val="0"/>
      <w:bCs w:val="0"/>
      <w:color w:val="365F91" w:themeColor="accent1" w:themeShade="BF"/>
      <w:kern w:val="0"/>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57991">
      <w:bodyDiv w:val="1"/>
      <w:marLeft w:val="0"/>
      <w:marRight w:val="0"/>
      <w:marTop w:val="0"/>
      <w:marBottom w:val="0"/>
      <w:divBdr>
        <w:top w:val="none" w:sz="0" w:space="0" w:color="auto"/>
        <w:left w:val="none" w:sz="0" w:space="0" w:color="auto"/>
        <w:bottom w:val="none" w:sz="0" w:space="0" w:color="auto"/>
        <w:right w:val="none" w:sz="0" w:space="0" w:color="auto"/>
      </w:divBdr>
    </w:div>
    <w:div w:id="205602314">
      <w:bodyDiv w:val="1"/>
      <w:marLeft w:val="0"/>
      <w:marRight w:val="0"/>
      <w:marTop w:val="0"/>
      <w:marBottom w:val="0"/>
      <w:divBdr>
        <w:top w:val="none" w:sz="0" w:space="0" w:color="auto"/>
        <w:left w:val="none" w:sz="0" w:space="0" w:color="auto"/>
        <w:bottom w:val="none" w:sz="0" w:space="0" w:color="auto"/>
        <w:right w:val="none" w:sz="0" w:space="0" w:color="auto"/>
      </w:divBdr>
    </w:div>
    <w:div w:id="1108354098">
      <w:bodyDiv w:val="1"/>
      <w:marLeft w:val="0"/>
      <w:marRight w:val="0"/>
      <w:marTop w:val="0"/>
      <w:marBottom w:val="0"/>
      <w:divBdr>
        <w:top w:val="none" w:sz="0" w:space="0" w:color="auto"/>
        <w:left w:val="none" w:sz="0" w:space="0" w:color="auto"/>
        <w:bottom w:val="none" w:sz="0" w:space="0" w:color="auto"/>
        <w:right w:val="none" w:sz="0" w:space="0" w:color="auto"/>
      </w:divBdr>
    </w:div>
    <w:div w:id="1125077254">
      <w:bodyDiv w:val="1"/>
      <w:marLeft w:val="0"/>
      <w:marRight w:val="0"/>
      <w:marTop w:val="0"/>
      <w:marBottom w:val="0"/>
      <w:divBdr>
        <w:top w:val="none" w:sz="0" w:space="0" w:color="auto"/>
        <w:left w:val="none" w:sz="0" w:space="0" w:color="auto"/>
        <w:bottom w:val="none" w:sz="0" w:space="0" w:color="auto"/>
        <w:right w:val="none" w:sz="0" w:space="0" w:color="auto"/>
      </w:divBdr>
    </w:div>
    <w:div w:id="1905287975">
      <w:bodyDiv w:val="1"/>
      <w:marLeft w:val="0"/>
      <w:marRight w:val="0"/>
      <w:marTop w:val="0"/>
      <w:marBottom w:val="0"/>
      <w:divBdr>
        <w:top w:val="none" w:sz="0" w:space="0" w:color="auto"/>
        <w:left w:val="none" w:sz="0" w:space="0" w:color="auto"/>
        <w:bottom w:val="none" w:sz="0" w:space="0" w:color="auto"/>
        <w:right w:val="none" w:sz="0" w:space="0" w:color="auto"/>
      </w:divBdr>
    </w:div>
    <w:div w:id="202782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FFFFFF"/>
      </a:dk2>
      <a:lt2>
        <a:srgbClr val="FFFFFF"/>
      </a:lt2>
      <a:accent1>
        <a:srgbClr val="4F81BD"/>
      </a:accent1>
      <a:accent2>
        <a:srgbClr val="FFFFF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A4AF1-A8DC-46F8-A4E5-B2BDA2A35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526</Words>
  <Characters>3554</Characters>
  <Application>Microsoft Office Word</Application>
  <DocSecurity>0</DocSecurity>
  <Lines>29</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2021-03-22T11:30:00Z</dcterms:created>
  <dcterms:modified xsi:type="dcterms:W3CDTF">2021-03-22T11:30:00Z</dcterms:modified>
</cp:coreProperties>
</file>